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88D1C" w14:textId="77777777" w:rsidR="007252FD" w:rsidRPr="006728B9" w:rsidRDefault="007252FD" w:rsidP="007252FD">
      <w:pPr>
        <w:jc w:val="center"/>
        <w:rPr>
          <w:noProof/>
        </w:rPr>
      </w:pPr>
      <w:r w:rsidRPr="006728B9">
        <w:rPr>
          <w:noProof/>
          <w:lang w:val="en-US" w:bidi="ar-SA"/>
        </w:rPr>
        <w:drawing>
          <wp:inline distT="0" distB="0" distL="0" distR="0" wp14:anchorId="12C5E39B" wp14:editId="4C64C656">
            <wp:extent cx="1445644" cy="495300"/>
            <wp:effectExtent l="0" t="0" r="2540" b="0"/>
            <wp:docPr id="3"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505" cy="498678"/>
                    </a:xfrm>
                    <a:prstGeom prst="rect">
                      <a:avLst/>
                    </a:prstGeom>
                  </pic:spPr>
                </pic:pic>
              </a:graphicData>
            </a:graphic>
          </wp:inline>
        </w:drawing>
      </w:r>
      <w:r w:rsidRPr="006728B9">
        <w:rPr>
          <w:noProof/>
        </w:rPr>
        <w:t xml:space="preserve"> </w:t>
      </w:r>
    </w:p>
    <w:p w14:paraId="3AAA1E0D" w14:textId="77777777" w:rsidR="007252FD" w:rsidRPr="006728B9" w:rsidRDefault="007252FD" w:rsidP="007252FD">
      <w:pPr>
        <w:jc w:val="center"/>
        <w:rPr>
          <w:noProof/>
        </w:rPr>
      </w:pPr>
    </w:p>
    <w:p w14:paraId="2B4F9903" w14:textId="77777777" w:rsidR="007252FD" w:rsidRPr="006728B9" w:rsidRDefault="007252FD" w:rsidP="007252FD">
      <w:pPr>
        <w:jc w:val="center"/>
        <w:rPr>
          <w:noProof/>
        </w:rPr>
      </w:pPr>
    </w:p>
    <w:p w14:paraId="27ADDC16" w14:textId="77777777" w:rsidR="007252FD" w:rsidRPr="006728B9" w:rsidRDefault="007252FD" w:rsidP="007252FD">
      <w:pPr>
        <w:jc w:val="center"/>
        <w:rPr>
          <w:noProof/>
        </w:rPr>
      </w:pPr>
    </w:p>
    <w:p w14:paraId="53E10338" w14:textId="77777777" w:rsidR="007252FD" w:rsidRPr="006728B9" w:rsidRDefault="007252FD" w:rsidP="007252FD">
      <w:pPr>
        <w:jc w:val="center"/>
        <w:rPr>
          <w:noProof/>
        </w:rPr>
      </w:pPr>
    </w:p>
    <w:p w14:paraId="7A456344" w14:textId="77777777" w:rsidR="007252FD" w:rsidRPr="006728B9" w:rsidRDefault="007252FD" w:rsidP="007252FD">
      <w:pPr>
        <w:jc w:val="center"/>
        <w:rPr>
          <w:noProof/>
        </w:rPr>
      </w:pPr>
    </w:p>
    <w:p w14:paraId="52FE256F" w14:textId="77777777" w:rsidR="007252FD" w:rsidRPr="006728B9" w:rsidRDefault="007252FD" w:rsidP="007252FD">
      <w:pPr>
        <w:jc w:val="center"/>
        <w:rPr>
          <w:noProof/>
        </w:rPr>
      </w:pPr>
    </w:p>
    <w:p w14:paraId="7AEEE55E" w14:textId="77777777" w:rsidR="007252FD" w:rsidRPr="006728B9" w:rsidRDefault="007252FD" w:rsidP="007252FD">
      <w:pPr>
        <w:rPr>
          <w:noProof/>
        </w:rPr>
      </w:pPr>
    </w:p>
    <w:p w14:paraId="39E24361" w14:textId="77777777" w:rsidR="007252FD" w:rsidRDefault="007252FD" w:rsidP="007252FD">
      <w:pPr>
        <w:jc w:val="center"/>
        <w:rPr>
          <w:noProof/>
        </w:rPr>
      </w:pPr>
    </w:p>
    <w:p w14:paraId="383FC05F" w14:textId="77777777" w:rsidR="007252FD" w:rsidRDefault="007252FD" w:rsidP="007252FD">
      <w:pPr>
        <w:jc w:val="center"/>
        <w:rPr>
          <w:noProof/>
        </w:rPr>
      </w:pPr>
    </w:p>
    <w:p w14:paraId="00C3D814" w14:textId="77777777" w:rsidR="007252FD" w:rsidRDefault="007252FD" w:rsidP="007252FD">
      <w:pPr>
        <w:jc w:val="center"/>
        <w:rPr>
          <w:noProof/>
        </w:rPr>
      </w:pPr>
    </w:p>
    <w:p w14:paraId="74452964" w14:textId="77777777" w:rsidR="007252FD" w:rsidRDefault="007252FD" w:rsidP="007252FD">
      <w:pPr>
        <w:jc w:val="center"/>
        <w:rPr>
          <w:noProof/>
        </w:rPr>
      </w:pPr>
    </w:p>
    <w:p w14:paraId="1C51CF07" w14:textId="77777777" w:rsidR="007252FD" w:rsidRPr="006728B9" w:rsidRDefault="007252FD" w:rsidP="007252FD">
      <w:pPr>
        <w:jc w:val="center"/>
        <w:rPr>
          <w:noProof/>
        </w:rPr>
      </w:pPr>
    </w:p>
    <w:p w14:paraId="097FFB90" w14:textId="77777777" w:rsidR="007252FD" w:rsidRPr="006728B9" w:rsidRDefault="007252FD" w:rsidP="007252FD">
      <w:pPr>
        <w:jc w:val="center"/>
        <w:rPr>
          <w:noProof/>
        </w:rPr>
      </w:pPr>
    </w:p>
    <w:p w14:paraId="0DE289C0" w14:textId="77777777" w:rsidR="007252FD" w:rsidRPr="006728B9" w:rsidRDefault="007252FD" w:rsidP="007252FD">
      <w:pPr>
        <w:jc w:val="center"/>
        <w:rPr>
          <w:noProof/>
        </w:rPr>
      </w:pPr>
    </w:p>
    <w:p w14:paraId="46CB3456" w14:textId="77777777" w:rsidR="007252FD" w:rsidRPr="006728B9" w:rsidRDefault="007252FD" w:rsidP="007252FD">
      <w:pPr>
        <w:jc w:val="center"/>
        <w:rPr>
          <w:noProof/>
        </w:rPr>
      </w:pPr>
    </w:p>
    <w:p w14:paraId="79AC45B9" w14:textId="77777777" w:rsidR="00F55D28" w:rsidRDefault="002B291E" w:rsidP="002B291E">
      <w:pPr>
        <w:pStyle w:val="paragraph"/>
        <w:spacing w:before="0" w:beforeAutospacing="0" w:after="0" w:afterAutospacing="0"/>
        <w:jc w:val="center"/>
        <w:textAlignment w:val="baseline"/>
        <w:rPr>
          <w:rStyle w:val="normaltextrun"/>
          <w:rFonts w:eastAsiaTheme="majorEastAsia"/>
          <w:sz w:val="56"/>
          <w:szCs w:val="56"/>
        </w:rPr>
      </w:pPr>
      <w:bookmarkStart w:id="0" w:name="_Hlk212628967"/>
      <w:r w:rsidRPr="001F6FE7">
        <w:rPr>
          <w:rStyle w:val="normaltextrun"/>
          <w:rFonts w:eastAsiaTheme="majorEastAsia"/>
          <w:sz w:val="56"/>
          <w:szCs w:val="56"/>
        </w:rPr>
        <w:t xml:space="preserve">CIM Leading Practice Guidelines for Sedimentary Basin and Geothermal Brine-Hosted Lithium </w:t>
      </w:r>
    </w:p>
    <w:p w14:paraId="5ABFE136" w14:textId="08247514" w:rsidR="002B291E" w:rsidRPr="00465A14" w:rsidRDefault="002B291E" w:rsidP="002B291E">
      <w:pPr>
        <w:pStyle w:val="paragraph"/>
        <w:spacing w:before="0" w:beforeAutospacing="0" w:after="0" w:afterAutospacing="0"/>
        <w:jc w:val="center"/>
        <w:textAlignment w:val="baseline"/>
        <w:rPr>
          <w:rFonts w:ascii="Segoe UI" w:hAnsi="Segoe UI" w:cs="Segoe UI"/>
          <w:sz w:val="18"/>
          <w:szCs w:val="18"/>
        </w:rPr>
      </w:pPr>
      <w:r w:rsidRPr="001F6FE7">
        <w:rPr>
          <w:rStyle w:val="normaltextrun"/>
          <w:rFonts w:eastAsiaTheme="majorEastAsia"/>
          <w:sz w:val="56"/>
          <w:szCs w:val="56"/>
        </w:rPr>
        <w:t>Mineral Resources and Mineral Reserves Estimation</w:t>
      </w:r>
    </w:p>
    <w:bookmarkEnd w:id="0"/>
    <w:p w14:paraId="2B50A0D9" w14:textId="77777777" w:rsidR="007252FD" w:rsidRDefault="007252FD" w:rsidP="007252FD">
      <w:pPr>
        <w:pStyle w:val="Subtitle"/>
      </w:pPr>
      <w:r w:rsidRPr="00253CFB">
        <w:rPr>
          <w:noProof/>
          <w:color w:val="365F91" w:themeColor="accent1" w:themeShade="BF"/>
          <w:lang w:val="en-CA" w:bidi="ar-SA"/>
        </w:rPr>
        <mc:AlternateContent>
          <mc:Choice Requires="wps">
            <w:drawing>
              <wp:anchor distT="0" distB="0" distL="114300" distR="114300" simplePos="0" relativeHeight="251659264" behindDoc="0" locked="0" layoutInCell="1" hidden="0" allowOverlap="1" wp14:anchorId="020865EA" wp14:editId="173A85AC">
                <wp:simplePos x="0" y="0"/>
                <wp:positionH relativeFrom="column">
                  <wp:posOffset>254000</wp:posOffset>
                </wp:positionH>
                <wp:positionV relativeFrom="paragraph">
                  <wp:posOffset>139700</wp:posOffset>
                </wp:positionV>
                <wp:extent cx="5958840" cy="28575"/>
                <wp:effectExtent l="19050" t="19050" r="22860" b="28575"/>
                <wp:wrapNone/>
                <wp:docPr id="16" name="Straight Arrow Connector 16"/>
                <wp:cNvGraphicFramePr/>
                <a:graphic xmlns:a="http://schemas.openxmlformats.org/drawingml/2006/main">
                  <a:graphicData uri="http://schemas.microsoft.com/office/word/2010/wordprocessingShape">
                    <wps:wsp>
                      <wps:cNvCnPr/>
                      <wps:spPr>
                        <a:xfrm>
                          <a:off x="2366580" y="3780000"/>
                          <a:ext cx="5958840" cy="0"/>
                        </a:xfrm>
                        <a:prstGeom prst="straightConnector1">
                          <a:avLst/>
                        </a:prstGeom>
                        <a:noFill/>
                        <a:ln w="28575" cap="flat" cmpd="sng">
                          <a:solidFill>
                            <a:schemeClr val="accent1">
                              <a:lumMod val="75000"/>
                            </a:schemeClr>
                          </a:solidFill>
                          <a:prstDash val="solid"/>
                          <a:round/>
                          <a:headEnd type="none" w="sm" len="sm"/>
                          <a:tailEnd type="none" w="sm" len="sm"/>
                        </a:ln>
                      </wps:spPr>
                      <wps:bodyPr/>
                    </wps:wsp>
                  </a:graphicData>
                </a:graphic>
              </wp:anchor>
            </w:drawing>
          </mc:Choice>
          <mc:Fallback>
            <w:pict>
              <v:shapetype w14:anchorId="09C8FE84" id="_x0000_t32" coordsize="21600,21600" o:spt="32" o:oned="t" path="m,l21600,21600e" filled="f">
                <v:path arrowok="t" fillok="f" o:connecttype="none"/>
                <o:lock v:ext="edit" shapetype="t"/>
              </v:shapetype>
              <v:shape id="Straight Arrow Connector 16" o:spid="_x0000_s1026" type="#_x0000_t32" style="position:absolute;margin-left:20pt;margin-top:11pt;width:469.2pt;height:2.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" strokecolor="#365f91 [2404]" strokeweight="2.25pt">
                <v:stroke startarrowwidth="narrow" startarrowlength="short" endarrowwidth="narrow" endarrowlength="short"/>
              </v:shape>
            </w:pict>
          </mc:Fallback>
        </mc:AlternateContent>
      </w:r>
    </w:p>
    <w:p w14:paraId="4F37680B" w14:textId="77777777" w:rsidR="007252FD" w:rsidRDefault="007252FD" w:rsidP="007252FD">
      <w:pPr>
        <w:pStyle w:val="Subtitle"/>
        <w:rPr>
          <w:rFonts w:ascii="Times New Roman" w:eastAsia="Times New Roman" w:hAnsi="Times New Roman" w:cs="Times New Roman"/>
        </w:rPr>
      </w:pPr>
      <w:bookmarkStart w:id="1" w:name="_heading=h.7kp5oykysib1" w:colFirst="0" w:colLast="0"/>
      <w:bookmarkEnd w:id="1"/>
      <w:r>
        <w:rPr>
          <w:rFonts w:ascii="Times New Roman" w:eastAsia="Times New Roman" w:hAnsi="Times New Roman" w:cs="Times New Roman"/>
        </w:rPr>
        <w:t xml:space="preserve">Prepared by the </w:t>
      </w:r>
    </w:p>
    <w:p w14:paraId="1B9F4537" w14:textId="77777777" w:rsidR="007252FD" w:rsidRDefault="007252FD" w:rsidP="007252FD">
      <w:pPr>
        <w:pStyle w:val="Subtitle"/>
        <w:rPr>
          <w:rFonts w:ascii="Times New Roman" w:eastAsia="Times New Roman" w:hAnsi="Times New Roman" w:cs="Times New Roman"/>
        </w:rPr>
      </w:pPr>
      <w:bookmarkStart w:id="2" w:name="_heading=h.yh8al53moayt" w:colFirst="0" w:colLast="0"/>
      <w:bookmarkEnd w:id="2"/>
      <w:r>
        <w:rPr>
          <w:rFonts w:ascii="Times New Roman" w:eastAsia="Times New Roman" w:hAnsi="Times New Roman" w:cs="Times New Roman"/>
        </w:rPr>
        <w:t xml:space="preserve">CIM </w:t>
      </w:r>
      <w:r>
        <w:rPr>
          <w:rFonts w:ascii="Times New Roman" w:hAnsi="Times New Roman"/>
        </w:rPr>
        <w:t>Mineral Resource and Mineral Reserve Committee</w:t>
      </w:r>
    </w:p>
    <w:p w14:paraId="482F12F1" w14:textId="77777777" w:rsidR="007252FD" w:rsidRDefault="007252FD" w:rsidP="007252FD">
      <w:pPr>
        <w:jc w:val="center"/>
        <w:rPr>
          <w:color w:val="404040"/>
          <w:sz w:val="20"/>
          <w:szCs w:val="20"/>
        </w:rPr>
      </w:pPr>
      <w:r>
        <w:rPr>
          <w:color w:val="404040"/>
          <w:sz w:val="20"/>
          <w:szCs w:val="20"/>
        </w:rPr>
        <w:t>Adopted by CIM Council [Month, Date, Year]</w:t>
      </w:r>
    </w:p>
    <w:p w14:paraId="50F677B9" w14:textId="77777777" w:rsidR="007252FD" w:rsidRDefault="007252FD" w:rsidP="007252FD"/>
    <w:p w14:paraId="1A5BDBB0" w14:textId="77777777" w:rsidR="007252FD" w:rsidRDefault="007252FD" w:rsidP="007252FD">
      <w:pPr>
        <w:tabs>
          <w:tab w:val="left" w:pos="6795"/>
        </w:tabs>
      </w:pPr>
      <w:r>
        <w:tab/>
      </w:r>
    </w:p>
    <w:p w14:paraId="69257A85" w14:textId="77777777" w:rsidR="00787141" w:rsidRDefault="00787141" w:rsidP="007252FD"/>
    <w:p w14:paraId="7A9FAF3B" w14:textId="77777777" w:rsidR="007252FD" w:rsidRDefault="007252FD" w:rsidP="007252FD">
      <w:pPr>
        <w:pStyle w:val="Subtitle"/>
        <w:rPr>
          <w:color w:val="404040"/>
          <w:sz w:val="20"/>
          <w:szCs w:val="20"/>
        </w:rPr>
      </w:pPr>
    </w:p>
    <w:p w14:paraId="5B126158" w14:textId="77777777" w:rsidR="007252FD" w:rsidRDefault="007252FD" w:rsidP="007252FD">
      <w:pPr>
        <w:pStyle w:val="Subtitle"/>
        <w:rPr>
          <w:color w:val="404040"/>
          <w:sz w:val="20"/>
          <w:szCs w:val="20"/>
        </w:rPr>
      </w:pPr>
    </w:p>
    <w:p w14:paraId="6B2D50FF" w14:textId="77777777" w:rsidR="007252FD" w:rsidRDefault="007252FD" w:rsidP="007252FD"/>
    <w:p w14:paraId="44893348" w14:textId="77777777" w:rsidR="007252FD" w:rsidRDefault="007252FD" w:rsidP="007252FD"/>
    <w:p w14:paraId="5E8139AE" w14:textId="77777777" w:rsidR="007252FD" w:rsidRDefault="007252FD" w:rsidP="007252FD">
      <w:pPr>
        <w:pStyle w:val="Subtitle"/>
        <w:rPr>
          <w:color w:val="404040"/>
          <w:sz w:val="20"/>
          <w:szCs w:val="20"/>
        </w:rPr>
      </w:pPr>
    </w:p>
    <w:p w14:paraId="1E8EB0F7" w14:textId="77777777" w:rsidR="007252FD" w:rsidRDefault="007252FD" w:rsidP="007252FD">
      <w:pPr>
        <w:pStyle w:val="Subtitle"/>
        <w:rPr>
          <w:color w:val="404040"/>
          <w:sz w:val="20"/>
          <w:szCs w:val="20"/>
        </w:rPr>
      </w:pPr>
    </w:p>
    <w:p w14:paraId="46A14737" w14:textId="77777777" w:rsidR="007252FD" w:rsidRDefault="007252FD" w:rsidP="007252FD"/>
    <w:p w14:paraId="10237CCB" w14:textId="77777777" w:rsidR="007252FD" w:rsidRDefault="007252FD" w:rsidP="007252FD"/>
    <w:p w14:paraId="464892C5" w14:textId="77777777" w:rsidR="007252FD" w:rsidRDefault="007252FD" w:rsidP="007252FD"/>
    <w:p w14:paraId="6327A4A8" w14:textId="77777777" w:rsidR="007252FD" w:rsidRPr="00064CFE" w:rsidRDefault="007252FD" w:rsidP="007252FD"/>
    <w:p w14:paraId="02E4B254" w14:textId="77777777" w:rsidR="007252FD" w:rsidRDefault="007252FD" w:rsidP="007252FD">
      <w:pPr>
        <w:pStyle w:val="Subtitle"/>
        <w:rPr>
          <w:color w:val="404040"/>
          <w:sz w:val="20"/>
          <w:szCs w:val="20"/>
        </w:rPr>
      </w:pPr>
    </w:p>
    <w:p w14:paraId="1A99E635" w14:textId="77777777" w:rsidR="007252FD" w:rsidRDefault="007252FD" w:rsidP="007252FD">
      <w:pPr>
        <w:pStyle w:val="Subtitle"/>
        <w:rPr>
          <w:b/>
          <w:color w:val="404040"/>
          <w:sz w:val="22"/>
          <w:szCs w:val="22"/>
        </w:rPr>
      </w:pPr>
    </w:p>
    <w:p w14:paraId="1D2140BF" w14:textId="77777777" w:rsidR="007252FD" w:rsidRPr="00253CFB" w:rsidRDefault="007252FD" w:rsidP="007252FD">
      <w:pPr>
        <w:pStyle w:val="Subtitle"/>
        <w:rPr>
          <w:rFonts w:ascii="Times New Roman" w:hAnsi="Times New Roman" w:cs="Times New Roman"/>
          <w:b/>
          <w:color w:val="404040"/>
          <w:sz w:val="22"/>
          <w:szCs w:val="22"/>
        </w:rPr>
      </w:pPr>
      <w:r w:rsidRPr="00253CFB">
        <w:rPr>
          <w:rFonts w:ascii="Times New Roman" w:hAnsi="Times New Roman" w:cs="Times New Roman"/>
          <w:b/>
          <w:color w:val="404040"/>
          <w:sz w:val="22"/>
          <w:szCs w:val="22"/>
        </w:rPr>
        <w:t>Canadian Institute of Mining, Metallurgy and Petroleum</w:t>
      </w:r>
    </w:p>
    <w:p w14:paraId="1FBDA06D" w14:textId="77777777" w:rsidR="007252FD" w:rsidRPr="00253CFB" w:rsidRDefault="007252FD" w:rsidP="007252FD">
      <w:pPr>
        <w:pStyle w:val="Subtitle"/>
        <w:rPr>
          <w:rFonts w:ascii="Times New Roman" w:hAnsi="Times New Roman" w:cs="Times New Roman"/>
          <w:color w:val="404040"/>
          <w:sz w:val="20"/>
          <w:szCs w:val="20"/>
        </w:rPr>
      </w:pPr>
      <w:bookmarkStart w:id="3" w:name="_heading=h.rid7s5exjcwm" w:colFirst="0" w:colLast="0"/>
      <w:bookmarkEnd w:id="3"/>
      <w:r w:rsidRPr="00253CFB">
        <w:rPr>
          <w:rFonts w:ascii="Times New Roman" w:hAnsi="Times New Roman" w:cs="Times New Roman"/>
          <w:color w:val="404040"/>
          <w:sz w:val="20"/>
          <w:szCs w:val="20"/>
        </w:rPr>
        <w:t>Suite 1040, 3500 de Maisonneuve Blvd. West</w:t>
      </w:r>
      <w:r w:rsidRPr="00253CFB">
        <w:rPr>
          <w:rFonts w:ascii="Times New Roman" w:hAnsi="Times New Roman" w:cs="Times New Roman"/>
          <w:color w:val="404040"/>
          <w:sz w:val="20"/>
          <w:szCs w:val="20"/>
        </w:rPr>
        <w:br/>
        <w:t>Westmount, Quebec H3Z 3C1 CANADA</w:t>
      </w:r>
      <w:r w:rsidRPr="00253CFB">
        <w:rPr>
          <w:rFonts w:ascii="Times New Roman" w:hAnsi="Times New Roman" w:cs="Times New Roman"/>
          <w:color w:val="404040"/>
          <w:sz w:val="20"/>
          <w:szCs w:val="20"/>
        </w:rPr>
        <w:br/>
        <w:t xml:space="preserve">Tel.: (514) 939-2710 </w:t>
      </w:r>
    </w:p>
    <w:bookmarkStart w:id="4" w:name="_heading=h.bcwxn3f3n6ia" w:colFirst="0" w:colLast="0"/>
    <w:bookmarkEnd w:id="4"/>
    <w:p w14:paraId="6337BA1B" w14:textId="307FE157" w:rsidR="007252FD" w:rsidRPr="00457724" w:rsidRDefault="007252FD" w:rsidP="00457724">
      <w:pPr>
        <w:pStyle w:val="Subtitle"/>
        <w:rPr>
          <w:rFonts w:ascii="Times New Roman" w:hAnsi="Times New Roman" w:cs="Times New Roman"/>
          <w:color w:val="365F91" w:themeColor="accent1" w:themeShade="BF"/>
          <w:sz w:val="22"/>
          <w:szCs w:val="22"/>
        </w:rPr>
      </w:pPr>
      <w:r w:rsidRPr="00253CFB">
        <w:rPr>
          <w:rFonts w:ascii="Times New Roman" w:hAnsi="Times New Roman" w:cs="Times New Roman"/>
          <w:color w:val="365F91" w:themeColor="accent1" w:themeShade="BF"/>
        </w:rPr>
        <w:fldChar w:fldCharType="begin"/>
      </w:r>
      <w:r w:rsidRPr="00253CFB">
        <w:rPr>
          <w:rFonts w:ascii="Times New Roman" w:hAnsi="Times New Roman" w:cs="Times New Roman"/>
          <w:color w:val="365F91" w:themeColor="accent1" w:themeShade="BF"/>
        </w:rPr>
        <w:instrText xml:space="preserve"> HYPERLINK "https://mrmr.cim.org/en/" \h </w:instrText>
      </w:r>
      <w:r w:rsidRPr="00253CFB">
        <w:rPr>
          <w:rFonts w:ascii="Times New Roman" w:hAnsi="Times New Roman" w:cs="Times New Roman"/>
          <w:color w:val="365F91" w:themeColor="accent1" w:themeShade="BF"/>
        </w:rPr>
      </w:r>
      <w:r w:rsidRPr="00253CFB">
        <w:rPr>
          <w:rFonts w:ascii="Times New Roman" w:hAnsi="Times New Roman" w:cs="Times New Roman"/>
          <w:color w:val="365F91" w:themeColor="accent1" w:themeShade="BF"/>
        </w:rPr>
        <w:fldChar w:fldCharType="separate"/>
      </w:r>
      <w:r w:rsidRPr="00253CFB">
        <w:rPr>
          <w:rFonts w:ascii="Times New Roman" w:hAnsi="Times New Roman" w:cs="Times New Roman"/>
          <w:color w:val="365F91" w:themeColor="accent1" w:themeShade="BF"/>
          <w:sz w:val="22"/>
          <w:szCs w:val="22"/>
        </w:rPr>
        <w:t>mrmr.cim.org</w:t>
      </w:r>
      <w:r w:rsidRPr="00253CFB">
        <w:rPr>
          <w:rFonts w:ascii="Times New Roman" w:hAnsi="Times New Roman" w:cs="Times New Roman"/>
          <w:color w:val="365F91" w:themeColor="accent1" w:themeShade="BF"/>
          <w:sz w:val="22"/>
          <w:szCs w:val="22"/>
        </w:rPr>
        <w:fldChar w:fldCharType="end"/>
      </w:r>
      <w:r w:rsidRPr="00253CFB">
        <w:rPr>
          <w:rFonts w:ascii="Times New Roman" w:hAnsi="Times New Roman" w:cs="Times New Roman"/>
          <w:color w:val="365F91" w:themeColor="accent1" w:themeShade="BF"/>
          <w:sz w:val="20"/>
          <w:szCs w:val="20"/>
        </w:rPr>
        <w:t xml:space="preserve"> | </w:t>
      </w:r>
      <w:hyperlink r:id="rId9">
        <w:r w:rsidRPr="00253CFB">
          <w:rPr>
            <w:rFonts w:ascii="Times New Roman" w:hAnsi="Times New Roman" w:cs="Times New Roman"/>
            <w:color w:val="365F91" w:themeColor="accent1" w:themeShade="BF"/>
            <w:sz w:val="22"/>
            <w:szCs w:val="22"/>
          </w:rPr>
          <w:t>www.cim.org</w:t>
        </w:r>
      </w:hyperlink>
    </w:p>
    <w:p w14:paraId="7A73D8A6" w14:textId="77777777" w:rsidR="00CA5D22" w:rsidRPr="00253CFB" w:rsidRDefault="00A95283">
      <w:pPr>
        <w:keepNext/>
        <w:keepLines/>
        <w:widowControl/>
        <w:spacing w:before="240" w:line="259" w:lineRule="auto"/>
        <w:rPr>
          <w:b/>
          <w:color w:val="365F91" w:themeColor="accent1" w:themeShade="BF"/>
          <w:sz w:val="36"/>
          <w:szCs w:val="36"/>
        </w:rPr>
      </w:pPr>
      <w:bookmarkStart w:id="5" w:name="_heading=h.gjdgxs" w:colFirst="0" w:colLast="0"/>
      <w:bookmarkEnd w:id="5"/>
      <w:r w:rsidRPr="00253CFB">
        <w:rPr>
          <w:b/>
          <w:color w:val="365F91" w:themeColor="accent1" w:themeShade="BF"/>
          <w:sz w:val="36"/>
          <w:szCs w:val="36"/>
        </w:rPr>
        <w:lastRenderedPageBreak/>
        <w:t>Table of Contents</w:t>
      </w:r>
    </w:p>
    <w:p w14:paraId="494B6458" w14:textId="77777777" w:rsidR="00CA5D22" w:rsidRDefault="00CA5D22"/>
    <w:sdt>
      <w:sdtPr>
        <w:id w:val="-349174607"/>
        <w:docPartObj>
          <w:docPartGallery w:val="Table of Contents"/>
          <w:docPartUnique/>
        </w:docPartObj>
      </w:sdtPr>
      <w:sdtEndPr/>
      <w:sdtContent>
        <w:p w14:paraId="20A70BEB" w14:textId="081B4C72" w:rsidR="008F561C" w:rsidRDefault="00A95283">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r>
            <w:fldChar w:fldCharType="begin"/>
          </w:r>
          <w:r>
            <w:instrText xml:space="preserve"> TOC \h \u \z </w:instrText>
          </w:r>
          <w:r>
            <w:fldChar w:fldCharType="separate"/>
          </w:r>
          <w:hyperlink w:anchor="_Toc212629251" w:history="1">
            <w:r w:rsidR="008F561C" w:rsidRPr="00ED2412">
              <w:rPr>
                <w:rStyle w:val="Hyperlink"/>
                <w:noProof/>
              </w:rPr>
              <w:t>1.</w:t>
            </w:r>
            <w:r w:rsidR="008F561C">
              <w:rPr>
                <w:rFonts w:asciiTheme="minorHAnsi" w:eastAsiaTheme="minorEastAsia" w:hAnsiTheme="minorHAnsi" w:cstheme="minorBidi"/>
                <w:noProof/>
                <w:kern w:val="2"/>
                <w:sz w:val="24"/>
                <w:szCs w:val="24"/>
                <w:lang w:val="en-CA" w:bidi="ar-SA"/>
                <w14:ligatures w14:val="standardContextual"/>
              </w:rPr>
              <w:tab/>
            </w:r>
            <w:r w:rsidR="008F561C" w:rsidRPr="00ED2412">
              <w:rPr>
                <w:rStyle w:val="Hyperlink"/>
                <w:noProof/>
              </w:rPr>
              <w:t>Introduction</w:t>
            </w:r>
            <w:r w:rsidR="008F561C">
              <w:rPr>
                <w:noProof/>
                <w:webHidden/>
              </w:rPr>
              <w:tab/>
            </w:r>
            <w:r w:rsidR="008F561C">
              <w:rPr>
                <w:noProof/>
                <w:webHidden/>
              </w:rPr>
              <w:fldChar w:fldCharType="begin"/>
            </w:r>
            <w:r w:rsidR="008F561C">
              <w:rPr>
                <w:noProof/>
                <w:webHidden/>
              </w:rPr>
              <w:instrText xml:space="preserve"> PAGEREF _Toc212629251 \h </w:instrText>
            </w:r>
            <w:r w:rsidR="008F561C">
              <w:rPr>
                <w:noProof/>
                <w:webHidden/>
              </w:rPr>
            </w:r>
            <w:r w:rsidR="008F561C">
              <w:rPr>
                <w:noProof/>
                <w:webHidden/>
              </w:rPr>
              <w:fldChar w:fldCharType="separate"/>
            </w:r>
            <w:r w:rsidR="007843FB">
              <w:rPr>
                <w:noProof/>
                <w:webHidden/>
              </w:rPr>
              <w:t>2</w:t>
            </w:r>
            <w:r w:rsidR="008F561C">
              <w:rPr>
                <w:noProof/>
                <w:webHidden/>
              </w:rPr>
              <w:fldChar w:fldCharType="end"/>
            </w:r>
          </w:hyperlink>
        </w:p>
        <w:p w14:paraId="4380EB92" w14:textId="1E2C25E1"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2" w:history="1">
            <w:r w:rsidRPr="00ED2412">
              <w:rPr>
                <w:rStyle w:val="Hyperlink"/>
                <w:noProof/>
              </w:rPr>
              <w:t>2.</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History</w:t>
            </w:r>
            <w:r>
              <w:rPr>
                <w:noProof/>
                <w:webHidden/>
              </w:rPr>
              <w:tab/>
            </w:r>
            <w:r>
              <w:rPr>
                <w:noProof/>
                <w:webHidden/>
              </w:rPr>
              <w:fldChar w:fldCharType="begin"/>
            </w:r>
            <w:r>
              <w:rPr>
                <w:noProof/>
                <w:webHidden/>
              </w:rPr>
              <w:instrText xml:space="preserve"> PAGEREF _Toc212629252 \h </w:instrText>
            </w:r>
            <w:r>
              <w:rPr>
                <w:noProof/>
                <w:webHidden/>
              </w:rPr>
            </w:r>
            <w:r>
              <w:rPr>
                <w:noProof/>
                <w:webHidden/>
              </w:rPr>
              <w:fldChar w:fldCharType="separate"/>
            </w:r>
            <w:r w:rsidR="007843FB">
              <w:rPr>
                <w:noProof/>
                <w:webHidden/>
              </w:rPr>
              <w:t>2</w:t>
            </w:r>
            <w:r>
              <w:rPr>
                <w:noProof/>
                <w:webHidden/>
              </w:rPr>
              <w:fldChar w:fldCharType="end"/>
            </w:r>
          </w:hyperlink>
        </w:p>
        <w:p w14:paraId="43DA1888" w14:textId="6E84349E"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3" w:history="1">
            <w:r w:rsidRPr="00ED2412">
              <w:rPr>
                <w:rStyle w:val="Hyperlink"/>
                <w:noProof/>
              </w:rPr>
              <w:t>3.</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Sedimentary Basin and Geothermal Brine-Hosted Lithium as Mineral Deposits</w:t>
            </w:r>
            <w:r>
              <w:rPr>
                <w:noProof/>
                <w:webHidden/>
              </w:rPr>
              <w:tab/>
            </w:r>
            <w:r>
              <w:rPr>
                <w:noProof/>
                <w:webHidden/>
              </w:rPr>
              <w:fldChar w:fldCharType="begin"/>
            </w:r>
            <w:r>
              <w:rPr>
                <w:noProof/>
                <w:webHidden/>
              </w:rPr>
              <w:instrText xml:space="preserve"> PAGEREF _Toc212629253 \h </w:instrText>
            </w:r>
            <w:r>
              <w:rPr>
                <w:noProof/>
                <w:webHidden/>
              </w:rPr>
            </w:r>
            <w:r>
              <w:rPr>
                <w:noProof/>
                <w:webHidden/>
              </w:rPr>
              <w:fldChar w:fldCharType="separate"/>
            </w:r>
            <w:r w:rsidR="007843FB">
              <w:rPr>
                <w:noProof/>
                <w:webHidden/>
              </w:rPr>
              <w:t>2</w:t>
            </w:r>
            <w:r>
              <w:rPr>
                <w:noProof/>
                <w:webHidden/>
              </w:rPr>
              <w:fldChar w:fldCharType="end"/>
            </w:r>
          </w:hyperlink>
        </w:p>
        <w:p w14:paraId="20EBE0BD" w14:textId="4088E761"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4" w:history="1">
            <w:r w:rsidRPr="00ED2412">
              <w:rPr>
                <w:rStyle w:val="Hyperlink"/>
                <w:noProof/>
              </w:rPr>
              <w:t>3.1.   General Brine Deposit Types</w:t>
            </w:r>
            <w:r>
              <w:rPr>
                <w:noProof/>
                <w:webHidden/>
              </w:rPr>
              <w:tab/>
            </w:r>
            <w:r>
              <w:rPr>
                <w:noProof/>
                <w:webHidden/>
              </w:rPr>
              <w:fldChar w:fldCharType="begin"/>
            </w:r>
            <w:r>
              <w:rPr>
                <w:noProof/>
                <w:webHidden/>
              </w:rPr>
              <w:instrText xml:space="preserve"> PAGEREF _Toc212629254 \h </w:instrText>
            </w:r>
            <w:r>
              <w:rPr>
                <w:noProof/>
                <w:webHidden/>
              </w:rPr>
            </w:r>
            <w:r>
              <w:rPr>
                <w:noProof/>
                <w:webHidden/>
              </w:rPr>
              <w:fldChar w:fldCharType="separate"/>
            </w:r>
            <w:r w:rsidR="007843FB">
              <w:rPr>
                <w:noProof/>
                <w:webHidden/>
              </w:rPr>
              <w:t>2</w:t>
            </w:r>
            <w:r>
              <w:rPr>
                <w:noProof/>
                <w:webHidden/>
              </w:rPr>
              <w:fldChar w:fldCharType="end"/>
            </w:r>
          </w:hyperlink>
        </w:p>
        <w:p w14:paraId="14198981" w14:textId="591B67A6"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5" w:history="1">
            <w:r w:rsidRPr="00ED2412">
              <w:rPr>
                <w:rStyle w:val="Hyperlink"/>
                <w:noProof/>
              </w:rPr>
              <w:t>4.</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Data Collection and Analysis</w:t>
            </w:r>
            <w:r>
              <w:rPr>
                <w:noProof/>
                <w:webHidden/>
              </w:rPr>
              <w:tab/>
            </w:r>
            <w:r>
              <w:rPr>
                <w:noProof/>
                <w:webHidden/>
              </w:rPr>
              <w:fldChar w:fldCharType="begin"/>
            </w:r>
            <w:r>
              <w:rPr>
                <w:noProof/>
                <w:webHidden/>
              </w:rPr>
              <w:instrText xml:space="preserve"> PAGEREF _Toc212629255 \h </w:instrText>
            </w:r>
            <w:r>
              <w:rPr>
                <w:noProof/>
                <w:webHidden/>
              </w:rPr>
            </w:r>
            <w:r>
              <w:rPr>
                <w:noProof/>
                <w:webHidden/>
              </w:rPr>
              <w:fldChar w:fldCharType="separate"/>
            </w:r>
            <w:r w:rsidR="007843FB">
              <w:rPr>
                <w:noProof/>
                <w:webHidden/>
              </w:rPr>
              <w:t>3</w:t>
            </w:r>
            <w:r>
              <w:rPr>
                <w:noProof/>
                <w:webHidden/>
              </w:rPr>
              <w:fldChar w:fldCharType="end"/>
            </w:r>
          </w:hyperlink>
        </w:p>
        <w:p w14:paraId="32BCE159" w14:textId="38A44DF8"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6" w:history="1">
            <w:r w:rsidRPr="00ED2412">
              <w:rPr>
                <w:rStyle w:val="Hyperlink"/>
                <w:noProof/>
              </w:rPr>
              <w:t>4.1.   Overview</w:t>
            </w:r>
            <w:r>
              <w:rPr>
                <w:noProof/>
                <w:webHidden/>
              </w:rPr>
              <w:tab/>
            </w:r>
            <w:r>
              <w:rPr>
                <w:noProof/>
                <w:webHidden/>
              </w:rPr>
              <w:fldChar w:fldCharType="begin"/>
            </w:r>
            <w:r>
              <w:rPr>
                <w:noProof/>
                <w:webHidden/>
              </w:rPr>
              <w:instrText xml:space="preserve"> PAGEREF _Toc212629256 \h </w:instrText>
            </w:r>
            <w:r>
              <w:rPr>
                <w:noProof/>
                <w:webHidden/>
              </w:rPr>
            </w:r>
            <w:r>
              <w:rPr>
                <w:noProof/>
                <w:webHidden/>
              </w:rPr>
              <w:fldChar w:fldCharType="separate"/>
            </w:r>
            <w:r w:rsidR="007843FB">
              <w:rPr>
                <w:noProof/>
                <w:webHidden/>
              </w:rPr>
              <w:t>3</w:t>
            </w:r>
            <w:r>
              <w:rPr>
                <w:noProof/>
                <w:webHidden/>
              </w:rPr>
              <w:fldChar w:fldCharType="end"/>
            </w:r>
          </w:hyperlink>
        </w:p>
        <w:p w14:paraId="131DD1C0" w14:textId="4D0EAE55"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7" w:history="1">
            <w:r w:rsidRPr="00ED2412">
              <w:rPr>
                <w:rStyle w:val="Hyperlink"/>
                <w:noProof/>
              </w:rPr>
              <w:t>4.2.   Lithium Brine Resource Parameters</w:t>
            </w:r>
            <w:r>
              <w:rPr>
                <w:noProof/>
                <w:webHidden/>
              </w:rPr>
              <w:tab/>
            </w:r>
            <w:r>
              <w:rPr>
                <w:noProof/>
                <w:webHidden/>
              </w:rPr>
              <w:fldChar w:fldCharType="begin"/>
            </w:r>
            <w:r>
              <w:rPr>
                <w:noProof/>
                <w:webHidden/>
              </w:rPr>
              <w:instrText xml:space="preserve"> PAGEREF _Toc212629257 \h </w:instrText>
            </w:r>
            <w:r>
              <w:rPr>
                <w:noProof/>
                <w:webHidden/>
              </w:rPr>
            </w:r>
            <w:r>
              <w:rPr>
                <w:noProof/>
                <w:webHidden/>
              </w:rPr>
              <w:fldChar w:fldCharType="separate"/>
            </w:r>
            <w:r w:rsidR="007843FB">
              <w:rPr>
                <w:noProof/>
                <w:webHidden/>
              </w:rPr>
              <w:t>4</w:t>
            </w:r>
            <w:r>
              <w:rPr>
                <w:noProof/>
                <w:webHidden/>
              </w:rPr>
              <w:fldChar w:fldCharType="end"/>
            </w:r>
          </w:hyperlink>
        </w:p>
        <w:p w14:paraId="7A0471FC" w14:textId="59DCDC69"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8" w:history="1">
            <w:r w:rsidRPr="00ED2412">
              <w:rPr>
                <w:rStyle w:val="Hyperlink"/>
                <w:noProof/>
              </w:rPr>
              <w:t>4.3.   Lithium Brine Reserve Parameters</w:t>
            </w:r>
            <w:r>
              <w:rPr>
                <w:noProof/>
                <w:webHidden/>
              </w:rPr>
              <w:tab/>
            </w:r>
            <w:r>
              <w:rPr>
                <w:noProof/>
                <w:webHidden/>
              </w:rPr>
              <w:fldChar w:fldCharType="begin"/>
            </w:r>
            <w:r>
              <w:rPr>
                <w:noProof/>
                <w:webHidden/>
              </w:rPr>
              <w:instrText xml:space="preserve"> PAGEREF _Toc212629258 \h </w:instrText>
            </w:r>
            <w:r>
              <w:rPr>
                <w:noProof/>
                <w:webHidden/>
              </w:rPr>
            </w:r>
            <w:r>
              <w:rPr>
                <w:noProof/>
                <w:webHidden/>
              </w:rPr>
              <w:fldChar w:fldCharType="separate"/>
            </w:r>
            <w:r w:rsidR="007843FB">
              <w:rPr>
                <w:noProof/>
                <w:webHidden/>
              </w:rPr>
              <w:t>4</w:t>
            </w:r>
            <w:r>
              <w:rPr>
                <w:noProof/>
                <w:webHidden/>
              </w:rPr>
              <w:fldChar w:fldCharType="end"/>
            </w:r>
          </w:hyperlink>
        </w:p>
        <w:p w14:paraId="1795DC71" w14:textId="65F5CE1C"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59" w:history="1">
            <w:r w:rsidRPr="00ED2412">
              <w:rPr>
                <w:rStyle w:val="Hyperlink"/>
                <w:noProof/>
              </w:rPr>
              <w:t>4.4.   Use of Historical Data</w:t>
            </w:r>
            <w:r>
              <w:rPr>
                <w:noProof/>
                <w:webHidden/>
              </w:rPr>
              <w:tab/>
            </w:r>
            <w:r>
              <w:rPr>
                <w:noProof/>
                <w:webHidden/>
              </w:rPr>
              <w:fldChar w:fldCharType="begin"/>
            </w:r>
            <w:r>
              <w:rPr>
                <w:noProof/>
                <w:webHidden/>
              </w:rPr>
              <w:instrText xml:space="preserve"> PAGEREF _Toc212629259 \h </w:instrText>
            </w:r>
            <w:r>
              <w:rPr>
                <w:noProof/>
                <w:webHidden/>
              </w:rPr>
            </w:r>
            <w:r>
              <w:rPr>
                <w:noProof/>
                <w:webHidden/>
              </w:rPr>
              <w:fldChar w:fldCharType="separate"/>
            </w:r>
            <w:r w:rsidR="007843FB">
              <w:rPr>
                <w:noProof/>
                <w:webHidden/>
              </w:rPr>
              <w:t>5</w:t>
            </w:r>
            <w:r>
              <w:rPr>
                <w:noProof/>
                <w:webHidden/>
              </w:rPr>
              <w:fldChar w:fldCharType="end"/>
            </w:r>
          </w:hyperlink>
        </w:p>
        <w:p w14:paraId="6B369352" w14:textId="704AD137"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0" w:history="1">
            <w:r w:rsidRPr="00ED2412">
              <w:rPr>
                <w:rStyle w:val="Hyperlink"/>
                <w:noProof/>
              </w:rPr>
              <w:t xml:space="preserve">4.4.   </w:t>
            </w:r>
            <w:r w:rsidRPr="00ED2412">
              <w:rPr>
                <w:rStyle w:val="Hyperlink"/>
                <w:noProof/>
                <w:lang w:val="en-US"/>
              </w:rPr>
              <w:t>Exploration Tools and Methods</w:t>
            </w:r>
            <w:r>
              <w:rPr>
                <w:noProof/>
                <w:webHidden/>
              </w:rPr>
              <w:tab/>
            </w:r>
            <w:r>
              <w:rPr>
                <w:noProof/>
                <w:webHidden/>
              </w:rPr>
              <w:fldChar w:fldCharType="begin"/>
            </w:r>
            <w:r>
              <w:rPr>
                <w:noProof/>
                <w:webHidden/>
              </w:rPr>
              <w:instrText xml:space="preserve"> PAGEREF _Toc212629260 \h </w:instrText>
            </w:r>
            <w:r>
              <w:rPr>
                <w:noProof/>
                <w:webHidden/>
              </w:rPr>
            </w:r>
            <w:r>
              <w:rPr>
                <w:noProof/>
                <w:webHidden/>
              </w:rPr>
              <w:fldChar w:fldCharType="separate"/>
            </w:r>
            <w:r w:rsidR="007843FB">
              <w:rPr>
                <w:noProof/>
                <w:webHidden/>
              </w:rPr>
              <w:t>5</w:t>
            </w:r>
            <w:r>
              <w:rPr>
                <w:noProof/>
                <w:webHidden/>
              </w:rPr>
              <w:fldChar w:fldCharType="end"/>
            </w:r>
          </w:hyperlink>
        </w:p>
        <w:p w14:paraId="27BE9A71" w14:textId="18B9BFC3"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1" w:history="1">
            <w:r w:rsidRPr="00ED2412">
              <w:rPr>
                <w:rStyle w:val="Hyperlink"/>
                <w:noProof/>
              </w:rPr>
              <w:t xml:space="preserve">4.6.   </w:t>
            </w:r>
            <w:r w:rsidRPr="00ED2412">
              <w:rPr>
                <w:rStyle w:val="Hyperlink"/>
                <w:noProof/>
                <w:lang w:val="en-US"/>
              </w:rPr>
              <w:t>Field Testing</w:t>
            </w:r>
            <w:r>
              <w:rPr>
                <w:noProof/>
                <w:webHidden/>
              </w:rPr>
              <w:tab/>
            </w:r>
            <w:r>
              <w:rPr>
                <w:noProof/>
                <w:webHidden/>
              </w:rPr>
              <w:fldChar w:fldCharType="begin"/>
            </w:r>
            <w:r>
              <w:rPr>
                <w:noProof/>
                <w:webHidden/>
              </w:rPr>
              <w:instrText xml:space="preserve"> PAGEREF _Toc212629261 \h </w:instrText>
            </w:r>
            <w:r>
              <w:rPr>
                <w:noProof/>
                <w:webHidden/>
              </w:rPr>
            </w:r>
            <w:r>
              <w:rPr>
                <w:noProof/>
                <w:webHidden/>
              </w:rPr>
              <w:fldChar w:fldCharType="separate"/>
            </w:r>
            <w:r w:rsidR="007843FB">
              <w:rPr>
                <w:noProof/>
                <w:webHidden/>
              </w:rPr>
              <w:t>6</w:t>
            </w:r>
            <w:r>
              <w:rPr>
                <w:noProof/>
                <w:webHidden/>
              </w:rPr>
              <w:fldChar w:fldCharType="end"/>
            </w:r>
          </w:hyperlink>
        </w:p>
        <w:p w14:paraId="56379905" w14:textId="40B5FBF6"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2" w:history="1">
            <w:r w:rsidRPr="00ED2412">
              <w:rPr>
                <w:rStyle w:val="Hyperlink"/>
                <w:noProof/>
              </w:rPr>
              <w:t xml:space="preserve">4.7.   </w:t>
            </w:r>
            <w:r w:rsidRPr="00ED2412">
              <w:rPr>
                <w:rStyle w:val="Hyperlink"/>
                <w:noProof/>
                <w:lang w:val="en-US"/>
              </w:rPr>
              <w:t>Laboratory Testing</w:t>
            </w:r>
            <w:r>
              <w:rPr>
                <w:noProof/>
                <w:webHidden/>
              </w:rPr>
              <w:tab/>
            </w:r>
            <w:r>
              <w:rPr>
                <w:noProof/>
                <w:webHidden/>
              </w:rPr>
              <w:fldChar w:fldCharType="begin"/>
            </w:r>
            <w:r>
              <w:rPr>
                <w:noProof/>
                <w:webHidden/>
              </w:rPr>
              <w:instrText xml:space="preserve"> PAGEREF _Toc212629262 \h </w:instrText>
            </w:r>
            <w:r>
              <w:rPr>
                <w:noProof/>
                <w:webHidden/>
              </w:rPr>
            </w:r>
            <w:r>
              <w:rPr>
                <w:noProof/>
                <w:webHidden/>
              </w:rPr>
              <w:fldChar w:fldCharType="separate"/>
            </w:r>
            <w:r w:rsidR="007843FB">
              <w:rPr>
                <w:noProof/>
                <w:webHidden/>
              </w:rPr>
              <w:t>6</w:t>
            </w:r>
            <w:r>
              <w:rPr>
                <w:noProof/>
                <w:webHidden/>
              </w:rPr>
              <w:fldChar w:fldCharType="end"/>
            </w:r>
          </w:hyperlink>
        </w:p>
        <w:p w14:paraId="2DF648F5" w14:textId="7E2A3883"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3" w:history="1">
            <w:r w:rsidRPr="00ED2412">
              <w:rPr>
                <w:rStyle w:val="Hyperlink"/>
                <w:noProof/>
              </w:rPr>
              <w:t xml:space="preserve">4.8.   </w:t>
            </w:r>
            <w:r w:rsidRPr="00ED2412">
              <w:rPr>
                <w:rStyle w:val="Hyperlink"/>
                <w:noProof/>
                <w:lang w:val="en-US"/>
              </w:rPr>
              <w:t>Quality Assurance and Quality Control</w:t>
            </w:r>
            <w:r>
              <w:rPr>
                <w:noProof/>
                <w:webHidden/>
              </w:rPr>
              <w:tab/>
            </w:r>
            <w:r>
              <w:rPr>
                <w:noProof/>
                <w:webHidden/>
              </w:rPr>
              <w:fldChar w:fldCharType="begin"/>
            </w:r>
            <w:r>
              <w:rPr>
                <w:noProof/>
                <w:webHidden/>
              </w:rPr>
              <w:instrText xml:space="preserve"> PAGEREF _Toc212629263 \h </w:instrText>
            </w:r>
            <w:r>
              <w:rPr>
                <w:noProof/>
                <w:webHidden/>
              </w:rPr>
            </w:r>
            <w:r>
              <w:rPr>
                <w:noProof/>
                <w:webHidden/>
              </w:rPr>
              <w:fldChar w:fldCharType="separate"/>
            </w:r>
            <w:r w:rsidR="007843FB">
              <w:rPr>
                <w:noProof/>
                <w:webHidden/>
              </w:rPr>
              <w:t>6</w:t>
            </w:r>
            <w:r>
              <w:rPr>
                <w:noProof/>
                <w:webHidden/>
              </w:rPr>
              <w:fldChar w:fldCharType="end"/>
            </w:r>
          </w:hyperlink>
        </w:p>
        <w:p w14:paraId="5C59A74F" w14:textId="77A1BB9D"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4" w:history="1">
            <w:r w:rsidRPr="00ED2412">
              <w:rPr>
                <w:rStyle w:val="Hyperlink"/>
                <w:noProof/>
              </w:rPr>
              <w:t xml:space="preserve">4.9.   </w:t>
            </w:r>
            <w:r w:rsidRPr="00ED2412">
              <w:rPr>
                <w:rStyle w:val="Hyperlink"/>
                <w:noProof/>
                <w:lang w:val="en-US"/>
              </w:rPr>
              <w:t>Laboratory Testing</w:t>
            </w:r>
            <w:r>
              <w:rPr>
                <w:noProof/>
                <w:webHidden/>
              </w:rPr>
              <w:tab/>
            </w:r>
            <w:r>
              <w:rPr>
                <w:noProof/>
                <w:webHidden/>
              </w:rPr>
              <w:fldChar w:fldCharType="begin"/>
            </w:r>
            <w:r>
              <w:rPr>
                <w:noProof/>
                <w:webHidden/>
              </w:rPr>
              <w:instrText xml:space="preserve"> PAGEREF _Toc212629264 \h </w:instrText>
            </w:r>
            <w:r>
              <w:rPr>
                <w:noProof/>
                <w:webHidden/>
              </w:rPr>
            </w:r>
            <w:r>
              <w:rPr>
                <w:noProof/>
                <w:webHidden/>
              </w:rPr>
              <w:fldChar w:fldCharType="separate"/>
            </w:r>
            <w:r w:rsidR="007843FB">
              <w:rPr>
                <w:noProof/>
                <w:webHidden/>
              </w:rPr>
              <w:t>6</w:t>
            </w:r>
            <w:r>
              <w:rPr>
                <w:noProof/>
                <w:webHidden/>
              </w:rPr>
              <w:fldChar w:fldCharType="end"/>
            </w:r>
          </w:hyperlink>
        </w:p>
        <w:p w14:paraId="76746666" w14:textId="4FA45562"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5" w:history="1">
            <w:r w:rsidRPr="00ED2412">
              <w:rPr>
                <w:rStyle w:val="Hyperlink"/>
                <w:noProof/>
              </w:rPr>
              <w:t xml:space="preserve">4.10. </w:t>
            </w:r>
            <w:r w:rsidRPr="00ED2412">
              <w:rPr>
                <w:rStyle w:val="Hyperlink"/>
                <w:noProof/>
                <w:lang w:val="en-US"/>
              </w:rPr>
              <w:t>Primary Data Visualization</w:t>
            </w:r>
            <w:r>
              <w:rPr>
                <w:noProof/>
                <w:webHidden/>
              </w:rPr>
              <w:tab/>
            </w:r>
            <w:r>
              <w:rPr>
                <w:noProof/>
                <w:webHidden/>
              </w:rPr>
              <w:fldChar w:fldCharType="begin"/>
            </w:r>
            <w:r>
              <w:rPr>
                <w:noProof/>
                <w:webHidden/>
              </w:rPr>
              <w:instrText xml:space="preserve"> PAGEREF _Toc212629265 \h </w:instrText>
            </w:r>
            <w:r>
              <w:rPr>
                <w:noProof/>
                <w:webHidden/>
              </w:rPr>
            </w:r>
            <w:r>
              <w:rPr>
                <w:noProof/>
                <w:webHidden/>
              </w:rPr>
              <w:fldChar w:fldCharType="separate"/>
            </w:r>
            <w:r w:rsidR="007843FB">
              <w:rPr>
                <w:noProof/>
                <w:webHidden/>
              </w:rPr>
              <w:t>6</w:t>
            </w:r>
            <w:r>
              <w:rPr>
                <w:noProof/>
                <w:webHidden/>
              </w:rPr>
              <w:fldChar w:fldCharType="end"/>
            </w:r>
          </w:hyperlink>
        </w:p>
        <w:p w14:paraId="6A895C0D" w14:textId="5F8D0234"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6" w:history="1">
            <w:r w:rsidRPr="00ED2412">
              <w:rPr>
                <w:rStyle w:val="Hyperlink"/>
                <w:noProof/>
              </w:rPr>
              <w:t xml:space="preserve">4.11. </w:t>
            </w:r>
            <w:r w:rsidRPr="00ED2412">
              <w:rPr>
                <w:rStyle w:val="Hyperlink"/>
                <w:noProof/>
                <w:lang w:val="en-US"/>
              </w:rPr>
              <w:t>Conceptual Geological Model</w:t>
            </w:r>
            <w:r>
              <w:rPr>
                <w:noProof/>
                <w:webHidden/>
              </w:rPr>
              <w:tab/>
            </w:r>
            <w:r>
              <w:rPr>
                <w:noProof/>
                <w:webHidden/>
              </w:rPr>
              <w:fldChar w:fldCharType="begin"/>
            </w:r>
            <w:r>
              <w:rPr>
                <w:noProof/>
                <w:webHidden/>
              </w:rPr>
              <w:instrText xml:space="preserve"> PAGEREF _Toc212629266 \h </w:instrText>
            </w:r>
            <w:r>
              <w:rPr>
                <w:noProof/>
                <w:webHidden/>
              </w:rPr>
            </w:r>
            <w:r>
              <w:rPr>
                <w:noProof/>
                <w:webHidden/>
              </w:rPr>
              <w:fldChar w:fldCharType="separate"/>
            </w:r>
            <w:r w:rsidR="007843FB">
              <w:rPr>
                <w:noProof/>
                <w:webHidden/>
              </w:rPr>
              <w:t>6</w:t>
            </w:r>
            <w:r>
              <w:rPr>
                <w:noProof/>
                <w:webHidden/>
              </w:rPr>
              <w:fldChar w:fldCharType="end"/>
            </w:r>
          </w:hyperlink>
        </w:p>
        <w:p w14:paraId="329D4873" w14:textId="0CECCDA9"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7" w:history="1">
            <w:r w:rsidRPr="00ED2412">
              <w:rPr>
                <w:rStyle w:val="Hyperlink"/>
                <w:noProof/>
              </w:rPr>
              <w:t xml:space="preserve">4.12. </w:t>
            </w:r>
            <w:r w:rsidRPr="00ED2412">
              <w:rPr>
                <w:rStyle w:val="Hyperlink"/>
                <w:noProof/>
                <w:lang w:val="en-US"/>
              </w:rPr>
              <w:t>Geological Interpretation and Modelling</w:t>
            </w:r>
            <w:r>
              <w:rPr>
                <w:noProof/>
                <w:webHidden/>
              </w:rPr>
              <w:tab/>
            </w:r>
            <w:r>
              <w:rPr>
                <w:noProof/>
                <w:webHidden/>
              </w:rPr>
              <w:fldChar w:fldCharType="begin"/>
            </w:r>
            <w:r>
              <w:rPr>
                <w:noProof/>
                <w:webHidden/>
              </w:rPr>
              <w:instrText xml:space="preserve"> PAGEREF _Toc212629267 \h </w:instrText>
            </w:r>
            <w:r>
              <w:rPr>
                <w:noProof/>
                <w:webHidden/>
              </w:rPr>
            </w:r>
            <w:r>
              <w:rPr>
                <w:noProof/>
                <w:webHidden/>
              </w:rPr>
              <w:fldChar w:fldCharType="separate"/>
            </w:r>
            <w:r w:rsidR="007843FB">
              <w:rPr>
                <w:noProof/>
                <w:webHidden/>
              </w:rPr>
              <w:t>7</w:t>
            </w:r>
            <w:r>
              <w:rPr>
                <w:noProof/>
                <w:webHidden/>
              </w:rPr>
              <w:fldChar w:fldCharType="end"/>
            </w:r>
          </w:hyperlink>
        </w:p>
        <w:p w14:paraId="56F12291" w14:textId="221361BE"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8" w:history="1">
            <w:r w:rsidRPr="00ED2412">
              <w:rPr>
                <w:rStyle w:val="Hyperlink"/>
                <w:noProof/>
              </w:rPr>
              <w:t xml:space="preserve">4.13. </w:t>
            </w:r>
            <w:r w:rsidRPr="00ED2412">
              <w:rPr>
                <w:rStyle w:val="Hyperlink"/>
                <w:noProof/>
                <w:lang w:val="en-US"/>
              </w:rPr>
              <w:t>Mineralization Interpretation and Modelling</w:t>
            </w:r>
            <w:r>
              <w:rPr>
                <w:noProof/>
                <w:webHidden/>
              </w:rPr>
              <w:tab/>
            </w:r>
            <w:r>
              <w:rPr>
                <w:noProof/>
                <w:webHidden/>
              </w:rPr>
              <w:fldChar w:fldCharType="begin"/>
            </w:r>
            <w:r>
              <w:rPr>
                <w:noProof/>
                <w:webHidden/>
              </w:rPr>
              <w:instrText xml:space="preserve"> PAGEREF _Toc212629268 \h </w:instrText>
            </w:r>
            <w:r>
              <w:rPr>
                <w:noProof/>
                <w:webHidden/>
              </w:rPr>
            </w:r>
            <w:r>
              <w:rPr>
                <w:noProof/>
                <w:webHidden/>
              </w:rPr>
              <w:fldChar w:fldCharType="separate"/>
            </w:r>
            <w:r w:rsidR="007843FB">
              <w:rPr>
                <w:noProof/>
                <w:webHidden/>
              </w:rPr>
              <w:t>7</w:t>
            </w:r>
            <w:r>
              <w:rPr>
                <w:noProof/>
                <w:webHidden/>
              </w:rPr>
              <w:fldChar w:fldCharType="end"/>
            </w:r>
          </w:hyperlink>
        </w:p>
        <w:p w14:paraId="7BC7F6C1" w14:textId="4093B7AC"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69" w:history="1">
            <w:r w:rsidRPr="00ED2412">
              <w:rPr>
                <w:rStyle w:val="Hyperlink"/>
                <w:noProof/>
              </w:rPr>
              <w:t xml:space="preserve">4.14. </w:t>
            </w:r>
            <w:r w:rsidRPr="00ED2412">
              <w:rPr>
                <w:rStyle w:val="Hyperlink"/>
                <w:noProof/>
                <w:lang w:val="en-US"/>
              </w:rPr>
              <w:t>Data Analysis</w:t>
            </w:r>
            <w:r>
              <w:rPr>
                <w:noProof/>
                <w:webHidden/>
              </w:rPr>
              <w:tab/>
            </w:r>
            <w:r>
              <w:rPr>
                <w:noProof/>
                <w:webHidden/>
              </w:rPr>
              <w:fldChar w:fldCharType="begin"/>
            </w:r>
            <w:r>
              <w:rPr>
                <w:noProof/>
                <w:webHidden/>
              </w:rPr>
              <w:instrText xml:space="preserve"> PAGEREF _Toc212629269 \h </w:instrText>
            </w:r>
            <w:r>
              <w:rPr>
                <w:noProof/>
                <w:webHidden/>
              </w:rPr>
            </w:r>
            <w:r>
              <w:rPr>
                <w:noProof/>
                <w:webHidden/>
              </w:rPr>
              <w:fldChar w:fldCharType="separate"/>
            </w:r>
            <w:r w:rsidR="007843FB">
              <w:rPr>
                <w:noProof/>
                <w:webHidden/>
              </w:rPr>
              <w:t>8</w:t>
            </w:r>
            <w:r>
              <w:rPr>
                <w:noProof/>
                <w:webHidden/>
              </w:rPr>
              <w:fldChar w:fldCharType="end"/>
            </w:r>
          </w:hyperlink>
        </w:p>
        <w:p w14:paraId="41524166" w14:textId="37E03637" w:rsidR="008F561C" w:rsidRDefault="008F561C">
          <w:pPr>
            <w:pStyle w:val="TOC3"/>
            <w:tabs>
              <w:tab w:val="left" w:pos="1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0" w:history="1">
            <w:r w:rsidRPr="00ED2412">
              <w:rPr>
                <w:rStyle w:val="Hyperlink"/>
                <w:noProof/>
              </w:rPr>
              <w:t>4.14.1.</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Statistical Data Analysis &amp; Identification of Outlier Values</w:t>
            </w:r>
            <w:r>
              <w:rPr>
                <w:noProof/>
                <w:webHidden/>
              </w:rPr>
              <w:tab/>
            </w:r>
            <w:r>
              <w:rPr>
                <w:noProof/>
                <w:webHidden/>
              </w:rPr>
              <w:fldChar w:fldCharType="begin"/>
            </w:r>
            <w:r>
              <w:rPr>
                <w:noProof/>
                <w:webHidden/>
              </w:rPr>
              <w:instrText xml:space="preserve"> PAGEREF _Toc212629270 \h </w:instrText>
            </w:r>
            <w:r>
              <w:rPr>
                <w:noProof/>
                <w:webHidden/>
              </w:rPr>
            </w:r>
            <w:r>
              <w:rPr>
                <w:noProof/>
                <w:webHidden/>
              </w:rPr>
              <w:fldChar w:fldCharType="separate"/>
            </w:r>
            <w:r w:rsidR="007843FB">
              <w:rPr>
                <w:noProof/>
                <w:webHidden/>
              </w:rPr>
              <w:t>8</w:t>
            </w:r>
            <w:r>
              <w:rPr>
                <w:noProof/>
                <w:webHidden/>
              </w:rPr>
              <w:fldChar w:fldCharType="end"/>
            </w:r>
          </w:hyperlink>
        </w:p>
        <w:p w14:paraId="0BA3C67E" w14:textId="1079EC19" w:rsidR="008F561C" w:rsidRDefault="008F561C">
          <w:pPr>
            <w:pStyle w:val="TOC3"/>
            <w:tabs>
              <w:tab w:val="left" w:pos="1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1" w:history="1">
            <w:r w:rsidRPr="00ED2412">
              <w:rPr>
                <w:rStyle w:val="Hyperlink"/>
                <w:noProof/>
              </w:rPr>
              <w:t>4.14.2.</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Extrapolation Considerations</w:t>
            </w:r>
            <w:r>
              <w:rPr>
                <w:noProof/>
                <w:webHidden/>
              </w:rPr>
              <w:tab/>
            </w:r>
            <w:r>
              <w:rPr>
                <w:noProof/>
                <w:webHidden/>
              </w:rPr>
              <w:fldChar w:fldCharType="begin"/>
            </w:r>
            <w:r>
              <w:rPr>
                <w:noProof/>
                <w:webHidden/>
              </w:rPr>
              <w:instrText xml:space="preserve"> PAGEREF _Toc212629271 \h </w:instrText>
            </w:r>
            <w:r>
              <w:rPr>
                <w:noProof/>
                <w:webHidden/>
              </w:rPr>
            </w:r>
            <w:r>
              <w:rPr>
                <w:noProof/>
                <w:webHidden/>
              </w:rPr>
              <w:fldChar w:fldCharType="separate"/>
            </w:r>
            <w:r w:rsidR="007843FB">
              <w:rPr>
                <w:noProof/>
                <w:webHidden/>
              </w:rPr>
              <w:t>9</w:t>
            </w:r>
            <w:r>
              <w:rPr>
                <w:noProof/>
                <w:webHidden/>
              </w:rPr>
              <w:fldChar w:fldCharType="end"/>
            </w:r>
          </w:hyperlink>
        </w:p>
        <w:p w14:paraId="25027A7C" w14:textId="361E4A8D"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2" w:history="1">
            <w:r w:rsidRPr="00ED2412">
              <w:rPr>
                <w:rStyle w:val="Hyperlink"/>
                <w:noProof/>
              </w:rPr>
              <w:t>5.</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Brine-Hosted Lithium Mineral Resource Estimation</w:t>
            </w:r>
            <w:r>
              <w:rPr>
                <w:noProof/>
                <w:webHidden/>
              </w:rPr>
              <w:tab/>
            </w:r>
            <w:r>
              <w:rPr>
                <w:noProof/>
                <w:webHidden/>
              </w:rPr>
              <w:fldChar w:fldCharType="begin"/>
            </w:r>
            <w:r>
              <w:rPr>
                <w:noProof/>
                <w:webHidden/>
              </w:rPr>
              <w:instrText xml:space="preserve"> PAGEREF _Toc212629272 \h </w:instrText>
            </w:r>
            <w:r>
              <w:rPr>
                <w:noProof/>
                <w:webHidden/>
              </w:rPr>
            </w:r>
            <w:r>
              <w:rPr>
                <w:noProof/>
                <w:webHidden/>
              </w:rPr>
              <w:fldChar w:fldCharType="separate"/>
            </w:r>
            <w:r w:rsidR="007843FB">
              <w:rPr>
                <w:noProof/>
                <w:webHidden/>
              </w:rPr>
              <w:t>9</w:t>
            </w:r>
            <w:r>
              <w:rPr>
                <w:noProof/>
                <w:webHidden/>
              </w:rPr>
              <w:fldChar w:fldCharType="end"/>
            </w:r>
          </w:hyperlink>
        </w:p>
        <w:p w14:paraId="6B21AF0D" w14:textId="4E8DAEE7"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3" w:history="1">
            <w:r w:rsidRPr="00ED2412">
              <w:rPr>
                <w:rStyle w:val="Hyperlink"/>
                <w:noProof/>
              </w:rPr>
              <w:t xml:space="preserve">5.1.   </w:t>
            </w:r>
            <w:r w:rsidRPr="00ED2412">
              <w:rPr>
                <w:rStyle w:val="Hyperlink"/>
                <w:noProof/>
                <w:lang w:val="en-US"/>
              </w:rPr>
              <w:t>Mineral Resource Statements</w:t>
            </w:r>
            <w:r>
              <w:rPr>
                <w:noProof/>
                <w:webHidden/>
              </w:rPr>
              <w:tab/>
            </w:r>
            <w:r>
              <w:rPr>
                <w:noProof/>
                <w:webHidden/>
              </w:rPr>
              <w:fldChar w:fldCharType="begin"/>
            </w:r>
            <w:r>
              <w:rPr>
                <w:noProof/>
                <w:webHidden/>
              </w:rPr>
              <w:instrText xml:space="preserve"> PAGEREF _Toc212629273 \h </w:instrText>
            </w:r>
            <w:r>
              <w:rPr>
                <w:noProof/>
                <w:webHidden/>
              </w:rPr>
            </w:r>
            <w:r>
              <w:rPr>
                <w:noProof/>
                <w:webHidden/>
              </w:rPr>
              <w:fldChar w:fldCharType="separate"/>
            </w:r>
            <w:r w:rsidR="007843FB">
              <w:rPr>
                <w:noProof/>
                <w:webHidden/>
              </w:rPr>
              <w:t>9</w:t>
            </w:r>
            <w:r>
              <w:rPr>
                <w:noProof/>
                <w:webHidden/>
              </w:rPr>
              <w:fldChar w:fldCharType="end"/>
            </w:r>
          </w:hyperlink>
        </w:p>
        <w:p w14:paraId="064574EC" w14:textId="14A0471A"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4" w:history="1">
            <w:r w:rsidRPr="00ED2412">
              <w:rPr>
                <w:rStyle w:val="Hyperlink"/>
                <w:noProof/>
              </w:rPr>
              <w:t>6.</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Brine-Hosted Lithium Mineral Reserve Estimation</w:t>
            </w:r>
            <w:r>
              <w:rPr>
                <w:noProof/>
                <w:webHidden/>
              </w:rPr>
              <w:tab/>
            </w:r>
            <w:r>
              <w:rPr>
                <w:noProof/>
                <w:webHidden/>
              </w:rPr>
              <w:fldChar w:fldCharType="begin"/>
            </w:r>
            <w:r>
              <w:rPr>
                <w:noProof/>
                <w:webHidden/>
              </w:rPr>
              <w:instrText xml:space="preserve"> PAGEREF _Toc212629274 \h </w:instrText>
            </w:r>
            <w:r>
              <w:rPr>
                <w:noProof/>
                <w:webHidden/>
              </w:rPr>
            </w:r>
            <w:r>
              <w:rPr>
                <w:noProof/>
                <w:webHidden/>
              </w:rPr>
              <w:fldChar w:fldCharType="separate"/>
            </w:r>
            <w:r w:rsidR="007843FB">
              <w:rPr>
                <w:noProof/>
                <w:webHidden/>
              </w:rPr>
              <w:t>10</w:t>
            </w:r>
            <w:r>
              <w:rPr>
                <w:noProof/>
                <w:webHidden/>
              </w:rPr>
              <w:fldChar w:fldCharType="end"/>
            </w:r>
          </w:hyperlink>
        </w:p>
        <w:p w14:paraId="31A32421" w14:textId="748FF3B4"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5" w:history="1">
            <w:r w:rsidRPr="00ED2412">
              <w:rPr>
                <w:rStyle w:val="Hyperlink"/>
                <w:noProof/>
              </w:rPr>
              <w:t xml:space="preserve">6.1.   </w:t>
            </w:r>
            <w:r w:rsidRPr="00ED2412">
              <w:rPr>
                <w:rStyle w:val="Hyperlink"/>
                <w:noProof/>
                <w:lang w:val="en-US"/>
              </w:rPr>
              <w:t>Cut-Off Grade or Value</w:t>
            </w:r>
            <w:r>
              <w:rPr>
                <w:noProof/>
                <w:webHidden/>
              </w:rPr>
              <w:tab/>
            </w:r>
            <w:r>
              <w:rPr>
                <w:noProof/>
                <w:webHidden/>
              </w:rPr>
              <w:fldChar w:fldCharType="begin"/>
            </w:r>
            <w:r>
              <w:rPr>
                <w:noProof/>
                <w:webHidden/>
              </w:rPr>
              <w:instrText xml:space="preserve"> PAGEREF _Toc212629275 \h </w:instrText>
            </w:r>
            <w:r>
              <w:rPr>
                <w:noProof/>
                <w:webHidden/>
              </w:rPr>
            </w:r>
            <w:r>
              <w:rPr>
                <w:noProof/>
                <w:webHidden/>
              </w:rPr>
              <w:fldChar w:fldCharType="separate"/>
            </w:r>
            <w:r w:rsidR="007843FB">
              <w:rPr>
                <w:noProof/>
                <w:webHidden/>
              </w:rPr>
              <w:t>11</w:t>
            </w:r>
            <w:r>
              <w:rPr>
                <w:noProof/>
                <w:webHidden/>
              </w:rPr>
              <w:fldChar w:fldCharType="end"/>
            </w:r>
          </w:hyperlink>
        </w:p>
        <w:p w14:paraId="5AADC7C6" w14:textId="0C7E33D2"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6" w:history="1">
            <w:r w:rsidRPr="00ED2412">
              <w:rPr>
                <w:rStyle w:val="Hyperlink"/>
                <w:noProof/>
              </w:rPr>
              <w:t xml:space="preserve">6.2.   </w:t>
            </w:r>
            <w:r w:rsidRPr="00ED2412">
              <w:rPr>
                <w:rStyle w:val="Hyperlink"/>
                <w:noProof/>
                <w:lang w:val="en-US"/>
              </w:rPr>
              <w:t>Numerical Modelling</w:t>
            </w:r>
            <w:r>
              <w:rPr>
                <w:noProof/>
                <w:webHidden/>
              </w:rPr>
              <w:tab/>
            </w:r>
            <w:r>
              <w:rPr>
                <w:noProof/>
                <w:webHidden/>
              </w:rPr>
              <w:fldChar w:fldCharType="begin"/>
            </w:r>
            <w:r>
              <w:rPr>
                <w:noProof/>
                <w:webHidden/>
              </w:rPr>
              <w:instrText xml:space="preserve"> PAGEREF _Toc212629276 \h </w:instrText>
            </w:r>
            <w:r>
              <w:rPr>
                <w:noProof/>
                <w:webHidden/>
              </w:rPr>
            </w:r>
            <w:r>
              <w:rPr>
                <w:noProof/>
                <w:webHidden/>
              </w:rPr>
              <w:fldChar w:fldCharType="separate"/>
            </w:r>
            <w:r w:rsidR="007843FB">
              <w:rPr>
                <w:noProof/>
                <w:webHidden/>
              </w:rPr>
              <w:t>11</w:t>
            </w:r>
            <w:r>
              <w:rPr>
                <w:noProof/>
                <w:webHidden/>
              </w:rPr>
              <w:fldChar w:fldCharType="end"/>
            </w:r>
          </w:hyperlink>
        </w:p>
        <w:p w14:paraId="57D5E333" w14:textId="3CE981AB"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7" w:history="1">
            <w:r w:rsidRPr="00ED2412">
              <w:rPr>
                <w:rStyle w:val="Hyperlink"/>
                <w:noProof/>
              </w:rPr>
              <w:t xml:space="preserve">6.3.   </w:t>
            </w:r>
            <w:r w:rsidRPr="00ED2412">
              <w:rPr>
                <w:rStyle w:val="Hyperlink"/>
                <w:noProof/>
                <w:lang w:val="en-US"/>
              </w:rPr>
              <w:t>Modifying Factors</w:t>
            </w:r>
            <w:r>
              <w:rPr>
                <w:noProof/>
                <w:webHidden/>
              </w:rPr>
              <w:tab/>
            </w:r>
            <w:r>
              <w:rPr>
                <w:noProof/>
                <w:webHidden/>
              </w:rPr>
              <w:fldChar w:fldCharType="begin"/>
            </w:r>
            <w:r>
              <w:rPr>
                <w:noProof/>
                <w:webHidden/>
              </w:rPr>
              <w:instrText xml:space="preserve"> PAGEREF _Toc212629277 \h </w:instrText>
            </w:r>
            <w:r>
              <w:rPr>
                <w:noProof/>
                <w:webHidden/>
              </w:rPr>
            </w:r>
            <w:r>
              <w:rPr>
                <w:noProof/>
                <w:webHidden/>
              </w:rPr>
              <w:fldChar w:fldCharType="separate"/>
            </w:r>
            <w:r w:rsidR="007843FB">
              <w:rPr>
                <w:noProof/>
                <w:webHidden/>
              </w:rPr>
              <w:t>11</w:t>
            </w:r>
            <w:r>
              <w:rPr>
                <w:noProof/>
                <w:webHidden/>
              </w:rPr>
              <w:fldChar w:fldCharType="end"/>
            </w:r>
          </w:hyperlink>
        </w:p>
        <w:p w14:paraId="437A076D" w14:textId="1733A408" w:rsidR="008F561C" w:rsidRDefault="008F561C">
          <w:pPr>
            <w:pStyle w:val="TOC2"/>
            <w:tabs>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8" w:history="1">
            <w:r w:rsidRPr="00ED2412">
              <w:rPr>
                <w:rStyle w:val="Hyperlink"/>
                <w:noProof/>
              </w:rPr>
              <w:t xml:space="preserve">6.4.   </w:t>
            </w:r>
            <w:r w:rsidRPr="00ED2412">
              <w:rPr>
                <w:rStyle w:val="Hyperlink"/>
                <w:noProof/>
                <w:lang w:val="en-US"/>
              </w:rPr>
              <w:t>Mineral Reserve Statements</w:t>
            </w:r>
            <w:r>
              <w:rPr>
                <w:noProof/>
                <w:webHidden/>
              </w:rPr>
              <w:tab/>
            </w:r>
            <w:r>
              <w:rPr>
                <w:noProof/>
                <w:webHidden/>
              </w:rPr>
              <w:fldChar w:fldCharType="begin"/>
            </w:r>
            <w:r>
              <w:rPr>
                <w:noProof/>
                <w:webHidden/>
              </w:rPr>
              <w:instrText xml:space="preserve"> PAGEREF _Toc212629278 \h </w:instrText>
            </w:r>
            <w:r>
              <w:rPr>
                <w:noProof/>
                <w:webHidden/>
              </w:rPr>
            </w:r>
            <w:r>
              <w:rPr>
                <w:noProof/>
                <w:webHidden/>
              </w:rPr>
              <w:fldChar w:fldCharType="separate"/>
            </w:r>
            <w:r w:rsidR="007843FB">
              <w:rPr>
                <w:noProof/>
                <w:webHidden/>
              </w:rPr>
              <w:t>12</w:t>
            </w:r>
            <w:r>
              <w:rPr>
                <w:noProof/>
                <w:webHidden/>
              </w:rPr>
              <w:fldChar w:fldCharType="end"/>
            </w:r>
          </w:hyperlink>
        </w:p>
        <w:p w14:paraId="3B7BA9A7" w14:textId="39A10CA8"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79" w:history="1">
            <w:r w:rsidRPr="00ED2412">
              <w:rPr>
                <w:rStyle w:val="Hyperlink"/>
                <w:noProof/>
              </w:rPr>
              <w:t>7.</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Conclusions</w:t>
            </w:r>
            <w:r>
              <w:rPr>
                <w:noProof/>
                <w:webHidden/>
              </w:rPr>
              <w:tab/>
            </w:r>
            <w:r>
              <w:rPr>
                <w:noProof/>
                <w:webHidden/>
              </w:rPr>
              <w:fldChar w:fldCharType="begin"/>
            </w:r>
            <w:r>
              <w:rPr>
                <w:noProof/>
                <w:webHidden/>
              </w:rPr>
              <w:instrText xml:space="preserve"> PAGEREF _Toc212629279 \h </w:instrText>
            </w:r>
            <w:r>
              <w:rPr>
                <w:noProof/>
                <w:webHidden/>
              </w:rPr>
            </w:r>
            <w:r>
              <w:rPr>
                <w:noProof/>
                <w:webHidden/>
              </w:rPr>
              <w:fldChar w:fldCharType="separate"/>
            </w:r>
            <w:r w:rsidR="007843FB">
              <w:rPr>
                <w:noProof/>
                <w:webHidden/>
              </w:rPr>
              <w:t>13</w:t>
            </w:r>
            <w:r>
              <w:rPr>
                <w:noProof/>
                <w:webHidden/>
              </w:rPr>
              <w:fldChar w:fldCharType="end"/>
            </w:r>
          </w:hyperlink>
        </w:p>
        <w:p w14:paraId="12284955" w14:textId="28578378"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80" w:history="1">
            <w:r w:rsidRPr="00ED2412">
              <w:rPr>
                <w:rStyle w:val="Hyperlink"/>
                <w:noProof/>
              </w:rPr>
              <w:t>8.</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Acknowledgements</w:t>
            </w:r>
            <w:r>
              <w:rPr>
                <w:noProof/>
                <w:webHidden/>
              </w:rPr>
              <w:tab/>
            </w:r>
            <w:r>
              <w:rPr>
                <w:noProof/>
                <w:webHidden/>
              </w:rPr>
              <w:fldChar w:fldCharType="begin"/>
            </w:r>
            <w:r>
              <w:rPr>
                <w:noProof/>
                <w:webHidden/>
              </w:rPr>
              <w:instrText xml:space="preserve"> PAGEREF _Toc212629280 \h </w:instrText>
            </w:r>
            <w:r>
              <w:rPr>
                <w:noProof/>
                <w:webHidden/>
              </w:rPr>
            </w:r>
            <w:r>
              <w:rPr>
                <w:noProof/>
                <w:webHidden/>
              </w:rPr>
              <w:fldChar w:fldCharType="separate"/>
            </w:r>
            <w:r w:rsidR="007843FB">
              <w:rPr>
                <w:noProof/>
                <w:webHidden/>
              </w:rPr>
              <w:t>14</w:t>
            </w:r>
            <w:r>
              <w:rPr>
                <w:noProof/>
                <w:webHidden/>
              </w:rPr>
              <w:fldChar w:fldCharType="end"/>
            </w:r>
          </w:hyperlink>
        </w:p>
        <w:p w14:paraId="2E91F74E" w14:textId="0DD021EB" w:rsidR="008F561C" w:rsidRDefault="008F561C">
          <w:pPr>
            <w:pStyle w:val="TOC1"/>
            <w:tabs>
              <w:tab w:val="left" w:pos="440"/>
              <w:tab w:val="right" w:pos="9811"/>
            </w:tabs>
            <w:rPr>
              <w:rFonts w:asciiTheme="minorHAnsi" w:eastAsiaTheme="minorEastAsia" w:hAnsiTheme="minorHAnsi" w:cstheme="minorBidi"/>
              <w:noProof/>
              <w:kern w:val="2"/>
              <w:sz w:val="24"/>
              <w:szCs w:val="24"/>
              <w:lang w:val="en-CA" w:bidi="ar-SA"/>
              <w14:ligatures w14:val="standardContextual"/>
            </w:rPr>
          </w:pPr>
          <w:hyperlink w:anchor="_Toc212629281" w:history="1">
            <w:r w:rsidRPr="00ED2412">
              <w:rPr>
                <w:rStyle w:val="Hyperlink"/>
                <w:noProof/>
              </w:rPr>
              <w:t>9.</w:t>
            </w:r>
            <w:r>
              <w:rPr>
                <w:rFonts w:asciiTheme="minorHAnsi" w:eastAsiaTheme="minorEastAsia" w:hAnsiTheme="minorHAnsi" w:cstheme="minorBidi"/>
                <w:noProof/>
                <w:kern w:val="2"/>
                <w:sz w:val="24"/>
                <w:szCs w:val="24"/>
                <w:lang w:val="en-CA" w:bidi="ar-SA"/>
                <w14:ligatures w14:val="standardContextual"/>
              </w:rPr>
              <w:tab/>
            </w:r>
            <w:r w:rsidRPr="00ED2412">
              <w:rPr>
                <w:rStyle w:val="Hyperlink"/>
                <w:noProof/>
              </w:rPr>
              <w:t>References</w:t>
            </w:r>
            <w:r>
              <w:rPr>
                <w:noProof/>
                <w:webHidden/>
              </w:rPr>
              <w:tab/>
            </w:r>
            <w:r>
              <w:rPr>
                <w:noProof/>
                <w:webHidden/>
              </w:rPr>
              <w:fldChar w:fldCharType="begin"/>
            </w:r>
            <w:r>
              <w:rPr>
                <w:noProof/>
                <w:webHidden/>
              </w:rPr>
              <w:instrText xml:space="preserve"> PAGEREF _Toc212629281 \h </w:instrText>
            </w:r>
            <w:r>
              <w:rPr>
                <w:noProof/>
                <w:webHidden/>
              </w:rPr>
            </w:r>
            <w:r>
              <w:rPr>
                <w:noProof/>
                <w:webHidden/>
              </w:rPr>
              <w:fldChar w:fldCharType="separate"/>
            </w:r>
            <w:r w:rsidR="007843FB">
              <w:rPr>
                <w:noProof/>
                <w:webHidden/>
              </w:rPr>
              <w:t>15</w:t>
            </w:r>
            <w:r>
              <w:rPr>
                <w:noProof/>
                <w:webHidden/>
              </w:rPr>
              <w:fldChar w:fldCharType="end"/>
            </w:r>
          </w:hyperlink>
        </w:p>
        <w:p w14:paraId="47ECD65C" w14:textId="53DD4063" w:rsidR="00710BCC" w:rsidRPr="00710BCC" w:rsidRDefault="00A95283" w:rsidP="00457724">
          <w:pPr>
            <w:pStyle w:val="TOC1"/>
            <w:tabs>
              <w:tab w:val="left" w:pos="440"/>
              <w:tab w:val="right" w:pos="9811"/>
            </w:tabs>
          </w:pPr>
          <w:r>
            <w:fldChar w:fldCharType="end"/>
          </w:r>
        </w:p>
      </w:sdtContent>
    </w:sdt>
    <w:p w14:paraId="2B53A345" w14:textId="4B5CF341" w:rsidR="00CA5D22" w:rsidRPr="00C65688" w:rsidRDefault="00A95283" w:rsidP="00F24DA0">
      <w:pPr>
        <w:pStyle w:val="Heading1"/>
        <w:jc w:val="both"/>
        <w:rPr>
          <w:rFonts w:ascii="Times New Roman" w:eastAsia="Times New Roman" w:hAnsi="Times New Roman" w:cs="Times New Roman"/>
          <w:color w:val="365F91" w:themeColor="accent1" w:themeShade="BF"/>
        </w:rPr>
      </w:pPr>
      <w:bookmarkStart w:id="6" w:name="_Toc212629251"/>
      <w:r w:rsidRPr="00C65688">
        <w:rPr>
          <w:rFonts w:ascii="Times New Roman" w:eastAsia="Times New Roman" w:hAnsi="Times New Roman" w:cs="Times New Roman"/>
          <w:color w:val="365F91" w:themeColor="accent1" w:themeShade="BF"/>
        </w:rPr>
        <w:lastRenderedPageBreak/>
        <w:t>1.</w:t>
      </w:r>
      <w:r w:rsidRPr="00C65688">
        <w:rPr>
          <w:rFonts w:ascii="Times New Roman" w:eastAsia="Times New Roman" w:hAnsi="Times New Roman" w:cs="Times New Roman"/>
          <w:color w:val="365F91" w:themeColor="accent1" w:themeShade="BF"/>
        </w:rPr>
        <w:tab/>
        <w:t>Introduction</w:t>
      </w:r>
      <w:bookmarkEnd w:id="6"/>
    </w:p>
    <w:p w14:paraId="03CCF38C" w14:textId="77777777" w:rsidR="00BA5E3B" w:rsidRDefault="00BA5E3B" w:rsidP="00F24DA0">
      <w:pPr>
        <w:jc w:val="both"/>
      </w:pPr>
      <w:r>
        <w:t xml:space="preserve">These guidelines were prepared by </w:t>
      </w:r>
      <w:r w:rsidRPr="00465A14">
        <w:t>the Canadian Institute of Mining, Metallurgy and Petroleum’s (CIM) Brine-Hosted Lithium Subcommittee</w:t>
      </w:r>
      <w:r>
        <w:t xml:space="preserve"> </w:t>
      </w:r>
      <w:r w:rsidRPr="00465A14">
        <w:t>to expand on the confined basin (</w:t>
      </w:r>
      <w:proofErr w:type="spellStart"/>
      <w:r w:rsidRPr="00465A14">
        <w:t>salar</w:t>
      </w:r>
      <w:proofErr w:type="spellEnd"/>
      <w:r w:rsidRPr="00465A14">
        <w:t>-type) deposits covered by an earlier version</w:t>
      </w:r>
      <w:r>
        <w:t xml:space="preserve"> (2012). </w:t>
      </w:r>
    </w:p>
    <w:p w14:paraId="68A8060B" w14:textId="77777777" w:rsidR="00BA5E3B" w:rsidRDefault="00BA5E3B" w:rsidP="00F24DA0">
      <w:pPr>
        <w:jc w:val="both"/>
      </w:pPr>
    </w:p>
    <w:p w14:paraId="10FCB914" w14:textId="77777777" w:rsidR="00BA5E3B" w:rsidRDefault="00BA5E3B" w:rsidP="00F24DA0">
      <w:pPr>
        <w:jc w:val="both"/>
      </w:pPr>
      <w:r>
        <w:t xml:space="preserve">Global demand for lithium is forecast to exceed supply of existing commercial lithium deposits, which include </w:t>
      </w:r>
      <w:proofErr w:type="spellStart"/>
      <w:r>
        <w:t>salar</w:t>
      </w:r>
      <w:proofErr w:type="spellEnd"/>
      <w:r>
        <w:t>-type (closed basin) and spodumene deposits.</w:t>
      </w:r>
    </w:p>
    <w:p w14:paraId="4A54E904" w14:textId="77777777" w:rsidR="00BA5E3B" w:rsidRDefault="00BA5E3B" w:rsidP="00F24DA0">
      <w:pPr>
        <w:jc w:val="both"/>
      </w:pPr>
    </w:p>
    <w:p w14:paraId="0438C1CB" w14:textId="7CA31B9F" w:rsidR="007E222C" w:rsidRDefault="00BA5E3B" w:rsidP="00F24DA0">
      <w:pPr>
        <w:jc w:val="both"/>
      </w:pPr>
      <w:r>
        <w:t>B</w:t>
      </w:r>
      <w:r w:rsidRPr="00174CE0">
        <w:t>reakthroughs in Direct Lithium Extraction (DLE) technology have unlocked additional sources of brine-hosted lithium</w:t>
      </w:r>
      <w:r>
        <w:t>, such as those from sedimentary basin and geothermal brines which are the focus of these guidelines</w:t>
      </w:r>
      <w:r w:rsidRPr="00174CE0">
        <w:t>.</w:t>
      </w:r>
      <w:r>
        <w:t xml:space="preserve"> Sedimentary basin and geothermal </w:t>
      </w:r>
      <w:r w:rsidRPr="0062467D">
        <w:t>brine deposits are considered sufficiently unique from solid deposits and from other types of brine deposits to warrant this dedicated guideline.</w:t>
      </w:r>
      <w:r>
        <w:t xml:space="preserve"> While many principles that apply to conventional resource and reserve estimation practices also apply to brine-hosted resources and reserves, there are unique factors to consider when estimating dissolved minerals.</w:t>
      </w:r>
    </w:p>
    <w:p w14:paraId="5F2C6148" w14:textId="04400975" w:rsidR="007E222C" w:rsidRDefault="007E222C" w:rsidP="00F24DA0">
      <w:pPr>
        <w:pStyle w:val="Heading1"/>
        <w:jc w:val="both"/>
        <w:rPr>
          <w:rFonts w:ascii="Times New Roman" w:eastAsia="Times New Roman" w:hAnsi="Times New Roman" w:cs="Times New Roman"/>
          <w:color w:val="365F91" w:themeColor="accent1" w:themeShade="BF"/>
        </w:rPr>
      </w:pPr>
      <w:bookmarkStart w:id="7" w:name="_Toc212629252"/>
      <w:r w:rsidRPr="00C65688">
        <w:rPr>
          <w:rFonts w:ascii="Times New Roman" w:eastAsia="Times New Roman" w:hAnsi="Times New Roman" w:cs="Times New Roman"/>
          <w:color w:val="365F91" w:themeColor="accent1" w:themeShade="BF"/>
        </w:rPr>
        <w:t>2.</w:t>
      </w:r>
      <w:r w:rsidRPr="00C65688">
        <w:rPr>
          <w:rFonts w:ascii="Times New Roman" w:eastAsia="Times New Roman" w:hAnsi="Times New Roman" w:cs="Times New Roman"/>
          <w:color w:val="365F91" w:themeColor="accent1" w:themeShade="BF"/>
        </w:rPr>
        <w:tab/>
      </w:r>
      <w:r>
        <w:rPr>
          <w:rFonts w:ascii="Times New Roman" w:eastAsia="Times New Roman" w:hAnsi="Times New Roman" w:cs="Times New Roman"/>
          <w:color w:val="365F91" w:themeColor="accent1" w:themeShade="BF"/>
        </w:rPr>
        <w:t>History</w:t>
      </w:r>
      <w:bookmarkEnd w:id="7"/>
    </w:p>
    <w:p w14:paraId="5CA5A9A3" w14:textId="77777777" w:rsidR="007D28E3" w:rsidRPr="00465A14" w:rsidRDefault="007D28E3" w:rsidP="00F24DA0">
      <w:pPr>
        <w:jc w:val="both"/>
      </w:pPr>
      <w:r w:rsidRPr="00465A14">
        <w:t>The CIM MRMR Committee formed the BH-Li Subcommittee on April 4</w:t>
      </w:r>
      <w:r w:rsidRPr="00465A14">
        <w:rPr>
          <w:vertAlign w:val="superscript"/>
        </w:rPr>
        <w:t>th</w:t>
      </w:r>
      <w:r w:rsidRPr="00465A14">
        <w:t xml:space="preserve">, </w:t>
      </w:r>
      <w:proofErr w:type="gramStart"/>
      <w:r w:rsidRPr="00465A14">
        <w:t>2024</w:t>
      </w:r>
      <w:proofErr w:type="gramEnd"/>
      <w:r w:rsidRPr="00465A14">
        <w:t xml:space="preserve"> from a cross-section of industry and academic practitioners, and approved the BH-Li Subcommittee’s proposal to update the</w:t>
      </w:r>
      <w:r>
        <w:t xml:space="preserve"> 2012 Lithium Brine Resources guidelines</w:t>
      </w:r>
      <w:r w:rsidRPr="00465A14">
        <w:t xml:space="preserve"> on June 29</w:t>
      </w:r>
      <w:r w:rsidRPr="00465A14">
        <w:rPr>
          <w:vertAlign w:val="superscript"/>
        </w:rPr>
        <w:t>th</w:t>
      </w:r>
      <w:r w:rsidRPr="00465A14">
        <w:t>, 2024.</w:t>
      </w:r>
    </w:p>
    <w:p w14:paraId="5A69AAEE" w14:textId="77777777" w:rsidR="007D28E3" w:rsidRPr="00465A14" w:rsidRDefault="007D28E3" w:rsidP="00F24DA0">
      <w:pPr>
        <w:jc w:val="both"/>
      </w:pPr>
    </w:p>
    <w:p w14:paraId="14A89C6D" w14:textId="7BFC3524" w:rsidR="007E222C" w:rsidRPr="00465A14" w:rsidRDefault="007D28E3" w:rsidP="00F24DA0">
      <w:pPr>
        <w:jc w:val="both"/>
      </w:pPr>
      <w:r w:rsidRPr="00465A14">
        <w:t xml:space="preserve">Two new documents were adopted by </w:t>
      </w:r>
      <w:r>
        <w:t xml:space="preserve">The Mineral Resources and Mineral Reserves Society of CIM (MRMRS) </w:t>
      </w:r>
      <w:r w:rsidRPr="00465A14">
        <w:t xml:space="preserve">on </w:t>
      </w:r>
      <w:r w:rsidRPr="00465A14">
        <w:rPr>
          <w:highlight w:val="yellow"/>
        </w:rPr>
        <w:t>MONTH DAY, YEAR</w:t>
      </w:r>
      <w:r w:rsidRPr="00465A14">
        <w:t xml:space="preserve"> and </w:t>
      </w:r>
      <w:r>
        <w:t>these guidelines</w:t>
      </w:r>
      <w:r w:rsidRPr="00465A14">
        <w:t xml:space="preserve"> supersedes the 2012 Lithium Brine Resources Guidelines.</w:t>
      </w:r>
    </w:p>
    <w:p w14:paraId="0FF1367F" w14:textId="5A6BACDE" w:rsidR="00CA5D22" w:rsidRPr="00C65688" w:rsidRDefault="00A3520F" w:rsidP="00A11158">
      <w:pPr>
        <w:pStyle w:val="Heading1"/>
        <w:ind w:left="720" w:hanging="720"/>
        <w:rPr>
          <w:rFonts w:ascii="Times New Roman" w:eastAsia="Times New Roman" w:hAnsi="Times New Roman" w:cs="Times New Roman"/>
          <w:color w:val="365F91" w:themeColor="accent1" w:themeShade="BF"/>
        </w:rPr>
      </w:pPr>
      <w:bookmarkStart w:id="8" w:name="_Toc212629253"/>
      <w:r>
        <w:rPr>
          <w:rFonts w:ascii="Times New Roman" w:eastAsia="Times New Roman" w:hAnsi="Times New Roman" w:cs="Times New Roman"/>
          <w:color w:val="365F91" w:themeColor="accent1" w:themeShade="BF"/>
        </w:rPr>
        <w:t>3</w:t>
      </w:r>
      <w:r w:rsidR="00A95283" w:rsidRPr="00C65688">
        <w:rPr>
          <w:rFonts w:ascii="Times New Roman" w:eastAsia="Times New Roman" w:hAnsi="Times New Roman" w:cs="Times New Roman"/>
          <w:color w:val="365F91" w:themeColor="accent1" w:themeShade="BF"/>
        </w:rPr>
        <w:t>.</w:t>
      </w:r>
      <w:r w:rsidR="00A95283" w:rsidRPr="00C65688">
        <w:rPr>
          <w:rFonts w:ascii="Times New Roman" w:eastAsia="Times New Roman" w:hAnsi="Times New Roman" w:cs="Times New Roman"/>
          <w:color w:val="365F91" w:themeColor="accent1" w:themeShade="BF"/>
        </w:rPr>
        <w:tab/>
      </w:r>
      <w:r w:rsidR="000E51CC">
        <w:rPr>
          <w:rFonts w:ascii="Times New Roman" w:eastAsia="Times New Roman" w:hAnsi="Times New Roman" w:cs="Times New Roman"/>
          <w:color w:val="365F91" w:themeColor="accent1" w:themeShade="BF"/>
        </w:rPr>
        <w:t xml:space="preserve">Sedimentary Basin and Geothermal </w:t>
      </w:r>
      <w:r w:rsidR="00A11158">
        <w:rPr>
          <w:rFonts w:ascii="Times New Roman" w:eastAsia="Times New Roman" w:hAnsi="Times New Roman" w:cs="Times New Roman"/>
          <w:color w:val="365F91" w:themeColor="accent1" w:themeShade="BF"/>
        </w:rPr>
        <w:t>Brine-Hosted Lithium as Mineral Deposits</w:t>
      </w:r>
      <w:bookmarkEnd w:id="8"/>
    </w:p>
    <w:p w14:paraId="33C44CF3" w14:textId="2C4EF0E5" w:rsidR="00CA5D22" w:rsidRPr="00C65688" w:rsidRDefault="000416FE">
      <w:pPr>
        <w:pStyle w:val="Heading2"/>
        <w:ind w:left="360" w:firstLine="0"/>
        <w:jc w:val="both"/>
        <w:rPr>
          <w:rFonts w:ascii="Times New Roman" w:hAnsi="Times New Roman" w:cs="Times New Roman"/>
          <w:color w:val="365F91" w:themeColor="accent1" w:themeShade="BF"/>
        </w:rPr>
      </w:pPr>
      <w:bookmarkStart w:id="9" w:name="_Toc212629254"/>
      <w:r>
        <w:rPr>
          <w:rFonts w:ascii="Times New Roman" w:hAnsi="Times New Roman" w:cs="Times New Roman"/>
          <w:color w:val="365F91" w:themeColor="accent1" w:themeShade="BF"/>
        </w:rPr>
        <w:t>3</w:t>
      </w:r>
      <w:r w:rsidR="00A95283" w:rsidRPr="00C65688">
        <w:rPr>
          <w:rFonts w:ascii="Times New Roman" w:hAnsi="Times New Roman" w:cs="Times New Roman"/>
          <w:color w:val="365F91" w:themeColor="accent1" w:themeShade="BF"/>
        </w:rPr>
        <w:t xml:space="preserve">.1.   </w:t>
      </w:r>
      <w:r w:rsidRPr="000416FE">
        <w:rPr>
          <w:rFonts w:ascii="Times New Roman" w:hAnsi="Times New Roman" w:cs="Times New Roman"/>
          <w:color w:val="365F91" w:themeColor="accent1" w:themeShade="BF"/>
        </w:rPr>
        <w:t>General Brine Deposit Types</w:t>
      </w:r>
      <w:bookmarkEnd w:id="9"/>
    </w:p>
    <w:p w14:paraId="0CC8E391" w14:textId="77777777" w:rsidR="00CA5D22" w:rsidRDefault="00CA5D22" w:rsidP="00F24DA0">
      <w:pPr>
        <w:spacing w:line="167" w:lineRule="auto"/>
        <w:ind w:left="1440"/>
        <w:jc w:val="both"/>
      </w:pPr>
    </w:p>
    <w:p w14:paraId="68A5B2CC" w14:textId="77777777" w:rsidR="00C71F29" w:rsidRPr="00465A14" w:rsidRDefault="00C71F29" w:rsidP="00F24DA0">
      <w:pPr>
        <w:ind w:left="1077"/>
        <w:jc w:val="both"/>
      </w:pPr>
      <w:r>
        <w:t>B</w:t>
      </w:r>
      <w:r w:rsidRPr="00465A14">
        <w:t>rine-hosted lithium does not technically meet the CIM’s definition of a mineral because it not a “solid material”</w:t>
      </w:r>
      <w:r>
        <w:t xml:space="preserve">. However, brines contain dissolved solids that are extracted and recovered as solid products, and on that basis brine-hosted lithium projects are </w:t>
      </w:r>
      <w:r w:rsidRPr="00465A14">
        <w:t>general</w:t>
      </w:r>
      <w:r>
        <w:t>ly</w:t>
      </w:r>
      <w:r w:rsidRPr="00465A14">
        <w:t xml:space="preserve"> </w:t>
      </w:r>
      <w:r>
        <w:t xml:space="preserve">regarded </w:t>
      </w:r>
      <w:r w:rsidRPr="00465A14">
        <w:t xml:space="preserve">within the industry </w:t>
      </w:r>
      <w:r>
        <w:t xml:space="preserve">as </w:t>
      </w:r>
      <w:r w:rsidRPr="00465A14">
        <w:t xml:space="preserve">mineral projects. </w:t>
      </w:r>
    </w:p>
    <w:p w14:paraId="37C939FD" w14:textId="77777777" w:rsidR="00C71F29" w:rsidRPr="00465A14" w:rsidRDefault="00C71F29" w:rsidP="00F24DA0">
      <w:pPr>
        <w:ind w:left="1077"/>
        <w:jc w:val="both"/>
      </w:pPr>
    </w:p>
    <w:p w14:paraId="33EC32E1" w14:textId="7E9786A9" w:rsidR="00C71F29" w:rsidRDefault="00C71F29" w:rsidP="00F24DA0">
      <w:pPr>
        <w:ind w:left="1077"/>
        <w:jc w:val="both"/>
      </w:pPr>
      <w:r>
        <w:t>Three</w:t>
      </w:r>
      <w:r w:rsidRPr="00465A14">
        <w:t xml:space="preserve"> primary settings where lithium brine</w:t>
      </w:r>
      <w:r>
        <w:t>s</w:t>
      </w:r>
      <w:r w:rsidRPr="00465A14">
        <w:t xml:space="preserve"> may occur is provided in Table 1. Practitioners preparing BH-Li MRMR estimates should be familiar with the geological setting and associated characteristics of lithium brine deposits.</w:t>
      </w:r>
      <w:r>
        <w:t xml:space="preserve"> A schematic of lithium brine deposits is shown in Figure 1.</w:t>
      </w:r>
    </w:p>
    <w:p w14:paraId="6273BCEB" w14:textId="77777777" w:rsidR="00C71F29" w:rsidRPr="00C71F29" w:rsidRDefault="00C71F29" w:rsidP="00C71F29">
      <w:pPr>
        <w:ind w:left="360"/>
      </w:pPr>
    </w:p>
    <w:tbl>
      <w:tblPr>
        <w:tblW w:w="9542" w:type="dxa"/>
        <w:tblLook w:val="04A0" w:firstRow="1" w:lastRow="0" w:firstColumn="1" w:lastColumn="0" w:noHBand="0" w:noVBand="1"/>
      </w:tblPr>
      <w:tblGrid>
        <w:gridCol w:w="2268"/>
        <w:gridCol w:w="2424"/>
        <w:gridCol w:w="2425"/>
        <w:gridCol w:w="2425"/>
      </w:tblGrid>
      <w:tr w:rsidR="00C71F29" w:rsidRPr="00710DFC" w14:paraId="030D5F02" w14:textId="77777777" w:rsidTr="00FB42F7">
        <w:tc>
          <w:tcPr>
            <w:tcW w:w="2268" w:type="dxa"/>
            <w:tcBorders>
              <w:top w:val="single" w:sz="4" w:space="0" w:color="auto"/>
              <w:left w:val="single" w:sz="4" w:space="0" w:color="auto"/>
              <w:bottom w:val="single" w:sz="4" w:space="0" w:color="auto"/>
              <w:right w:val="single" w:sz="4" w:space="0" w:color="auto"/>
            </w:tcBorders>
            <w:hideMark/>
          </w:tcPr>
          <w:p w14:paraId="0768A793" w14:textId="77777777" w:rsidR="00C71F29" w:rsidRPr="002D315E" w:rsidRDefault="00C71F29" w:rsidP="00FB42F7">
            <w:pPr>
              <w:kinsoku w:val="0"/>
              <w:overflowPunct w:val="0"/>
              <w:autoSpaceDE w:val="0"/>
              <w:autoSpaceDN w:val="0"/>
              <w:adjustRightInd w:val="0"/>
              <w:spacing w:line="258" w:lineRule="exact"/>
              <w:rPr>
                <w:b/>
                <w:bCs/>
              </w:rPr>
            </w:pPr>
            <w:r w:rsidRPr="002D315E">
              <w:rPr>
                <w:b/>
                <w:bCs/>
              </w:rPr>
              <w:t>Name or description</w:t>
            </w:r>
          </w:p>
        </w:tc>
        <w:tc>
          <w:tcPr>
            <w:tcW w:w="2424" w:type="dxa"/>
            <w:tcBorders>
              <w:top w:val="single" w:sz="4" w:space="0" w:color="auto"/>
              <w:left w:val="single" w:sz="4" w:space="0" w:color="auto"/>
              <w:bottom w:val="single" w:sz="4" w:space="0" w:color="auto"/>
              <w:right w:val="single" w:sz="4" w:space="0" w:color="auto"/>
            </w:tcBorders>
            <w:hideMark/>
          </w:tcPr>
          <w:p w14:paraId="54F170F7" w14:textId="77777777" w:rsidR="00C71F29" w:rsidRPr="002D315E" w:rsidRDefault="00C71F29" w:rsidP="00FB42F7">
            <w:pPr>
              <w:kinsoku w:val="0"/>
              <w:overflowPunct w:val="0"/>
              <w:autoSpaceDE w:val="0"/>
              <w:autoSpaceDN w:val="0"/>
              <w:adjustRightInd w:val="0"/>
              <w:spacing w:line="258" w:lineRule="exact"/>
              <w:jc w:val="center"/>
              <w:rPr>
                <w:b/>
                <w:bCs/>
              </w:rPr>
            </w:pPr>
            <w:r w:rsidRPr="002D315E">
              <w:rPr>
                <w:b/>
                <w:bCs/>
              </w:rPr>
              <w:t>Salar</w:t>
            </w:r>
          </w:p>
        </w:tc>
        <w:tc>
          <w:tcPr>
            <w:tcW w:w="2425" w:type="dxa"/>
            <w:tcBorders>
              <w:top w:val="single" w:sz="4" w:space="0" w:color="auto"/>
              <w:left w:val="single" w:sz="4" w:space="0" w:color="auto"/>
              <w:bottom w:val="single" w:sz="4" w:space="0" w:color="auto"/>
              <w:right w:val="single" w:sz="4" w:space="0" w:color="auto"/>
            </w:tcBorders>
            <w:hideMark/>
          </w:tcPr>
          <w:p w14:paraId="4D87A745" w14:textId="77777777" w:rsidR="00C71F29" w:rsidRPr="002D315E" w:rsidRDefault="00C71F29" w:rsidP="00FB42F7">
            <w:pPr>
              <w:kinsoku w:val="0"/>
              <w:overflowPunct w:val="0"/>
              <w:autoSpaceDE w:val="0"/>
              <w:autoSpaceDN w:val="0"/>
              <w:adjustRightInd w:val="0"/>
              <w:spacing w:line="258" w:lineRule="exact"/>
              <w:jc w:val="center"/>
              <w:rPr>
                <w:b/>
                <w:bCs/>
              </w:rPr>
            </w:pPr>
            <w:r w:rsidRPr="002D315E">
              <w:rPr>
                <w:b/>
                <w:bCs/>
              </w:rPr>
              <w:t>Sedimentary Basin</w:t>
            </w:r>
          </w:p>
        </w:tc>
        <w:tc>
          <w:tcPr>
            <w:tcW w:w="2425" w:type="dxa"/>
            <w:tcBorders>
              <w:top w:val="single" w:sz="4" w:space="0" w:color="auto"/>
              <w:left w:val="single" w:sz="4" w:space="0" w:color="auto"/>
              <w:bottom w:val="single" w:sz="4" w:space="0" w:color="auto"/>
              <w:right w:val="single" w:sz="4" w:space="0" w:color="auto"/>
            </w:tcBorders>
            <w:hideMark/>
          </w:tcPr>
          <w:p w14:paraId="6828DF5A" w14:textId="77777777" w:rsidR="00C71F29" w:rsidRPr="002D315E" w:rsidRDefault="00C71F29" w:rsidP="00FB42F7">
            <w:pPr>
              <w:kinsoku w:val="0"/>
              <w:overflowPunct w:val="0"/>
              <w:autoSpaceDE w:val="0"/>
              <w:autoSpaceDN w:val="0"/>
              <w:adjustRightInd w:val="0"/>
              <w:spacing w:line="258" w:lineRule="exact"/>
              <w:jc w:val="center"/>
              <w:rPr>
                <w:b/>
                <w:bCs/>
              </w:rPr>
            </w:pPr>
            <w:r w:rsidRPr="002D315E">
              <w:rPr>
                <w:b/>
                <w:bCs/>
              </w:rPr>
              <w:t>Geothermal</w:t>
            </w:r>
          </w:p>
        </w:tc>
      </w:tr>
      <w:tr w:rsidR="00C71F29" w:rsidRPr="00710DFC" w14:paraId="06309C72" w14:textId="77777777" w:rsidTr="00FB42F7">
        <w:tc>
          <w:tcPr>
            <w:tcW w:w="2268" w:type="dxa"/>
            <w:tcBorders>
              <w:top w:val="single" w:sz="4" w:space="0" w:color="auto"/>
              <w:left w:val="single" w:sz="4" w:space="0" w:color="auto"/>
              <w:bottom w:val="single" w:sz="4" w:space="0" w:color="auto"/>
              <w:right w:val="single" w:sz="4" w:space="0" w:color="auto"/>
            </w:tcBorders>
            <w:hideMark/>
          </w:tcPr>
          <w:p w14:paraId="33028500" w14:textId="77777777" w:rsidR="00C71F29" w:rsidRPr="002D315E" w:rsidRDefault="00C71F29" w:rsidP="00FB42F7">
            <w:pPr>
              <w:kinsoku w:val="0"/>
              <w:overflowPunct w:val="0"/>
              <w:autoSpaceDE w:val="0"/>
              <w:autoSpaceDN w:val="0"/>
              <w:adjustRightInd w:val="0"/>
              <w:spacing w:line="258" w:lineRule="exact"/>
            </w:pPr>
            <w:r w:rsidRPr="002D315E">
              <w:t>Brine age range</w:t>
            </w:r>
          </w:p>
        </w:tc>
        <w:tc>
          <w:tcPr>
            <w:tcW w:w="2424" w:type="dxa"/>
            <w:tcBorders>
              <w:top w:val="single" w:sz="4" w:space="0" w:color="auto"/>
              <w:left w:val="single" w:sz="4" w:space="0" w:color="auto"/>
              <w:bottom w:val="single" w:sz="4" w:space="0" w:color="auto"/>
              <w:right w:val="single" w:sz="4" w:space="0" w:color="auto"/>
            </w:tcBorders>
            <w:hideMark/>
          </w:tcPr>
          <w:p w14:paraId="02B53077" w14:textId="77777777" w:rsidR="00C71F29" w:rsidRPr="002D315E" w:rsidRDefault="00C71F29" w:rsidP="00FB42F7">
            <w:pPr>
              <w:kinsoku w:val="0"/>
              <w:overflowPunct w:val="0"/>
              <w:autoSpaceDE w:val="0"/>
              <w:autoSpaceDN w:val="0"/>
              <w:adjustRightInd w:val="0"/>
              <w:spacing w:line="258" w:lineRule="exact"/>
            </w:pPr>
            <w:r w:rsidRPr="002D315E">
              <w:t>Quaternary to Present</w:t>
            </w:r>
          </w:p>
        </w:tc>
        <w:tc>
          <w:tcPr>
            <w:tcW w:w="2425" w:type="dxa"/>
            <w:tcBorders>
              <w:top w:val="single" w:sz="4" w:space="0" w:color="auto"/>
              <w:left w:val="single" w:sz="4" w:space="0" w:color="auto"/>
              <w:bottom w:val="single" w:sz="4" w:space="0" w:color="auto"/>
              <w:right w:val="single" w:sz="4" w:space="0" w:color="auto"/>
            </w:tcBorders>
            <w:hideMark/>
          </w:tcPr>
          <w:p w14:paraId="7C10F914" w14:textId="77777777" w:rsidR="00C71F29" w:rsidRPr="002D315E" w:rsidRDefault="00C71F29" w:rsidP="00FB42F7">
            <w:pPr>
              <w:kinsoku w:val="0"/>
              <w:overflowPunct w:val="0"/>
              <w:autoSpaceDE w:val="0"/>
              <w:autoSpaceDN w:val="0"/>
              <w:adjustRightInd w:val="0"/>
              <w:spacing w:line="258" w:lineRule="exact"/>
            </w:pPr>
            <w:r w:rsidRPr="002D315E">
              <w:t>Holocene to Cambrian</w:t>
            </w:r>
          </w:p>
        </w:tc>
        <w:tc>
          <w:tcPr>
            <w:tcW w:w="2425" w:type="dxa"/>
            <w:tcBorders>
              <w:top w:val="single" w:sz="4" w:space="0" w:color="auto"/>
              <w:left w:val="single" w:sz="4" w:space="0" w:color="auto"/>
              <w:bottom w:val="single" w:sz="4" w:space="0" w:color="auto"/>
              <w:right w:val="single" w:sz="4" w:space="0" w:color="auto"/>
            </w:tcBorders>
            <w:hideMark/>
          </w:tcPr>
          <w:p w14:paraId="323068C8" w14:textId="77777777" w:rsidR="00C71F29" w:rsidRPr="002D315E" w:rsidRDefault="00C71F29" w:rsidP="00FB42F7">
            <w:pPr>
              <w:kinsoku w:val="0"/>
              <w:overflowPunct w:val="0"/>
              <w:autoSpaceDE w:val="0"/>
              <w:autoSpaceDN w:val="0"/>
              <w:adjustRightInd w:val="0"/>
              <w:spacing w:line="258" w:lineRule="exact"/>
            </w:pPr>
            <w:r w:rsidRPr="002D315E">
              <w:t>Holocene to Cenozoic</w:t>
            </w:r>
          </w:p>
        </w:tc>
      </w:tr>
      <w:tr w:rsidR="00C71F29" w:rsidRPr="00710DFC" w14:paraId="65850C25" w14:textId="77777777" w:rsidTr="00FB42F7">
        <w:tc>
          <w:tcPr>
            <w:tcW w:w="2268" w:type="dxa"/>
            <w:tcBorders>
              <w:top w:val="single" w:sz="4" w:space="0" w:color="auto"/>
              <w:left w:val="single" w:sz="4" w:space="0" w:color="auto"/>
              <w:bottom w:val="single" w:sz="4" w:space="0" w:color="auto"/>
              <w:right w:val="single" w:sz="4" w:space="0" w:color="auto"/>
            </w:tcBorders>
            <w:hideMark/>
          </w:tcPr>
          <w:p w14:paraId="11EE8873" w14:textId="77777777" w:rsidR="00C71F29" w:rsidRPr="002D315E" w:rsidRDefault="00C71F29" w:rsidP="00FB42F7">
            <w:pPr>
              <w:kinsoku w:val="0"/>
              <w:overflowPunct w:val="0"/>
              <w:autoSpaceDE w:val="0"/>
              <w:autoSpaceDN w:val="0"/>
              <w:adjustRightInd w:val="0"/>
              <w:spacing w:line="258" w:lineRule="exact"/>
            </w:pPr>
            <w:r w:rsidRPr="002D315E">
              <w:t>Process of lithium accumulation in brine</w:t>
            </w:r>
          </w:p>
        </w:tc>
        <w:tc>
          <w:tcPr>
            <w:tcW w:w="2424" w:type="dxa"/>
            <w:tcBorders>
              <w:top w:val="single" w:sz="4" w:space="0" w:color="auto"/>
              <w:left w:val="single" w:sz="4" w:space="0" w:color="auto"/>
              <w:bottom w:val="single" w:sz="4" w:space="0" w:color="auto"/>
              <w:right w:val="single" w:sz="4" w:space="0" w:color="auto"/>
            </w:tcBorders>
            <w:hideMark/>
          </w:tcPr>
          <w:p w14:paraId="06F55EC0" w14:textId="77777777" w:rsidR="00C71F29" w:rsidRPr="002D315E" w:rsidRDefault="00C71F29" w:rsidP="00FB42F7">
            <w:pPr>
              <w:kinsoku w:val="0"/>
              <w:overflowPunct w:val="0"/>
              <w:autoSpaceDE w:val="0"/>
              <w:autoSpaceDN w:val="0"/>
              <w:adjustRightInd w:val="0"/>
              <w:spacing w:line="258" w:lineRule="exact"/>
            </w:pPr>
            <w:r w:rsidRPr="002D315E">
              <w:t>Evaporation in a closed desert basin, possibly enhanced by geothermal</w:t>
            </w:r>
          </w:p>
        </w:tc>
        <w:tc>
          <w:tcPr>
            <w:tcW w:w="2425" w:type="dxa"/>
            <w:tcBorders>
              <w:top w:val="single" w:sz="4" w:space="0" w:color="auto"/>
              <w:left w:val="single" w:sz="4" w:space="0" w:color="auto"/>
              <w:bottom w:val="single" w:sz="4" w:space="0" w:color="auto"/>
              <w:right w:val="single" w:sz="4" w:space="0" w:color="auto"/>
            </w:tcBorders>
            <w:hideMark/>
          </w:tcPr>
          <w:p w14:paraId="0E409D5B" w14:textId="77777777" w:rsidR="00C71F29" w:rsidRPr="002D315E" w:rsidRDefault="00C71F29" w:rsidP="00FB42F7">
            <w:pPr>
              <w:kinsoku w:val="0"/>
              <w:overflowPunct w:val="0"/>
              <w:autoSpaceDE w:val="0"/>
              <w:autoSpaceDN w:val="0"/>
              <w:adjustRightInd w:val="0"/>
              <w:spacing w:line="258" w:lineRule="exact"/>
            </w:pPr>
            <w:r w:rsidRPr="002D315E">
              <w:t>Currently under active research</w:t>
            </w:r>
          </w:p>
        </w:tc>
        <w:tc>
          <w:tcPr>
            <w:tcW w:w="2425" w:type="dxa"/>
            <w:tcBorders>
              <w:top w:val="single" w:sz="4" w:space="0" w:color="auto"/>
              <w:left w:val="single" w:sz="4" w:space="0" w:color="auto"/>
              <w:bottom w:val="single" w:sz="4" w:space="0" w:color="auto"/>
              <w:right w:val="single" w:sz="4" w:space="0" w:color="auto"/>
            </w:tcBorders>
            <w:hideMark/>
          </w:tcPr>
          <w:p w14:paraId="5FE168F9" w14:textId="77777777" w:rsidR="00C71F29" w:rsidRPr="002D315E" w:rsidRDefault="00C71F29" w:rsidP="00FB42F7">
            <w:pPr>
              <w:kinsoku w:val="0"/>
              <w:overflowPunct w:val="0"/>
              <w:autoSpaceDE w:val="0"/>
              <w:autoSpaceDN w:val="0"/>
              <w:adjustRightInd w:val="0"/>
              <w:spacing w:line="258" w:lineRule="exact"/>
            </w:pPr>
            <w:r w:rsidRPr="002D315E">
              <w:t>Geothermal fluids contacting source rock with Li-bearing silicates</w:t>
            </w:r>
          </w:p>
        </w:tc>
      </w:tr>
      <w:tr w:rsidR="00C71F29" w:rsidRPr="00710DFC" w14:paraId="08D84017" w14:textId="77777777" w:rsidTr="00FB42F7">
        <w:tc>
          <w:tcPr>
            <w:tcW w:w="2268" w:type="dxa"/>
            <w:tcBorders>
              <w:top w:val="single" w:sz="4" w:space="0" w:color="auto"/>
              <w:left w:val="single" w:sz="4" w:space="0" w:color="auto"/>
              <w:bottom w:val="single" w:sz="4" w:space="0" w:color="auto"/>
              <w:right w:val="single" w:sz="4" w:space="0" w:color="auto"/>
            </w:tcBorders>
            <w:hideMark/>
          </w:tcPr>
          <w:p w14:paraId="3C2FD2AA" w14:textId="77777777" w:rsidR="00C71F29" w:rsidRPr="002D315E" w:rsidRDefault="00C71F29" w:rsidP="00FB42F7">
            <w:pPr>
              <w:kinsoku w:val="0"/>
              <w:overflowPunct w:val="0"/>
              <w:autoSpaceDE w:val="0"/>
              <w:autoSpaceDN w:val="0"/>
              <w:adjustRightInd w:val="0"/>
              <w:spacing w:line="258" w:lineRule="exact"/>
            </w:pPr>
            <w:r w:rsidRPr="002D315E">
              <w:t>Brine depth range (m)</w:t>
            </w:r>
          </w:p>
        </w:tc>
        <w:tc>
          <w:tcPr>
            <w:tcW w:w="2424" w:type="dxa"/>
            <w:tcBorders>
              <w:top w:val="single" w:sz="4" w:space="0" w:color="auto"/>
              <w:left w:val="single" w:sz="4" w:space="0" w:color="auto"/>
              <w:bottom w:val="single" w:sz="4" w:space="0" w:color="auto"/>
              <w:right w:val="single" w:sz="4" w:space="0" w:color="auto"/>
            </w:tcBorders>
            <w:hideMark/>
          </w:tcPr>
          <w:p w14:paraId="11B19AD4" w14:textId="77777777" w:rsidR="00C71F29" w:rsidRPr="002D315E" w:rsidRDefault="00C71F29" w:rsidP="00FB42F7">
            <w:pPr>
              <w:kinsoku w:val="0"/>
              <w:overflowPunct w:val="0"/>
              <w:autoSpaceDE w:val="0"/>
              <w:autoSpaceDN w:val="0"/>
              <w:adjustRightInd w:val="0"/>
              <w:spacing w:line="258" w:lineRule="exact"/>
            </w:pPr>
            <w:r w:rsidRPr="002D315E">
              <w:t>0-1000</w:t>
            </w:r>
          </w:p>
        </w:tc>
        <w:tc>
          <w:tcPr>
            <w:tcW w:w="2425" w:type="dxa"/>
            <w:tcBorders>
              <w:top w:val="single" w:sz="4" w:space="0" w:color="auto"/>
              <w:left w:val="single" w:sz="4" w:space="0" w:color="auto"/>
              <w:bottom w:val="single" w:sz="4" w:space="0" w:color="auto"/>
              <w:right w:val="single" w:sz="4" w:space="0" w:color="auto"/>
            </w:tcBorders>
            <w:hideMark/>
          </w:tcPr>
          <w:p w14:paraId="658D6D09" w14:textId="77777777" w:rsidR="00C71F29" w:rsidRPr="002D315E" w:rsidRDefault="00C71F29" w:rsidP="00FB42F7">
            <w:pPr>
              <w:kinsoku w:val="0"/>
              <w:overflowPunct w:val="0"/>
              <w:autoSpaceDE w:val="0"/>
              <w:autoSpaceDN w:val="0"/>
              <w:adjustRightInd w:val="0"/>
              <w:spacing w:line="258" w:lineRule="exact"/>
            </w:pPr>
            <w:r w:rsidRPr="002D315E">
              <w:t>500–5000</w:t>
            </w:r>
          </w:p>
        </w:tc>
        <w:tc>
          <w:tcPr>
            <w:tcW w:w="2425" w:type="dxa"/>
            <w:tcBorders>
              <w:top w:val="single" w:sz="4" w:space="0" w:color="auto"/>
              <w:left w:val="single" w:sz="4" w:space="0" w:color="auto"/>
              <w:bottom w:val="single" w:sz="4" w:space="0" w:color="auto"/>
              <w:right w:val="single" w:sz="4" w:space="0" w:color="auto"/>
            </w:tcBorders>
            <w:hideMark/>
          </w:tcPr>
          <w:p w14:paraId="7D9CF10B" w14:textId="77777777" w:rsidR="00C71F29" w:rsidRPr="002D315E" w:rsidRDefault="00C71F29" w:rsidP="00FB42F7">
            <w:pPr>
              <w:kinsoku w:val="0"/>
              <w:overflowPunct w:val="0"/>
              <w:autoSpaceDE w:val="0"/>
              <w:autoSpaceDN w:val="0"/>
              <w:adjustRightInd w:val="0"/>
              <w:spacing w:line="258" w:lineRule="exact"/>
            </w:pPr>
            <w:r w:rsidRPr="002D315E">
              <w:t>500–5000</w:t>
            </w:r>
          </w:p>
        </w:tc>
      </w:tr>
      <w:tr w:rsidR="00C71F29" w:rsidRPr="00710DFC" w14:paraId="1AA96E48" w14:textId="77777777" w:rsidTr="00FB42F7">
        <w:tc>
          <w:tcPr>
            <w:tcW w:w="2268" w:type="dxa"/>
            <w:tcBorders>
              <w:top w:val="single" w:sz="4" w:space="0" w:color="auto"/>
              <w:left w:val="single" w:sz="4" w:space="0" w:color="auto"/>
              <w:bottom w:val="single" w:sz="4" w:space="0" w:color="auto"/>
              <w:right w:val="single" w:sz="4" w:space="0" w:color="auto"/>
            </w:tcBorders>
            <w:hideMark/>
          </w:tcPr>
          <w:p w14:paraId="6B1F6707" w14:textId="77777777" w:rsidR="00C71F29" w:rsidRPr="002D315E" w:rsidRDefault="00C71F29" w:rsidP="00FB42F7">
            <w:pPr>
              <w:kinsoku w:val="0"/>
              <w:overflowPunct w:val="0"/>
              <w:autoSpaceDE w:val="0"/>
              <w:autoSpaceDN w:val="0"/>
              <w:adjustRightInd w:val="0"/>
              <w:spacing w:line="258" w:lineRule="exact"/>
            </w:pPr>
            <w:r w:rsidRPr="002D315E">
              <w:t xml:space="preserve">Potential associated assets </w:t>
            </w:r>
          </w:p>
        </w:tc>
        <w:tc>
          <w:tcPr>
            <w:tcW w:w="2424" w:type="dxa"/>
            <w:tcBorders>
              <w:top w:val="single" w:sz="4" w:space="0" w:color="auto"/>
              <w:left w:val="single" w:sz="4" w:space="0" w:color="auto"/>
              <w:bottom w:val="single" w:sz="4" w:space="0" w:color="auto"/>
              <w:right w:val="single" w:sz="4" w:space="0" w:color="auto"/>
            </w:tcBorders>
            <w:hideMark/>
          </w:tcPr>
          <w:p w14:paraId="2EC06BFC" w14:textId="77777777" w:rsidR="00C71F29" w:rsidRPr="002D315E" w:rsidRDefault="00C71F29" w:rsidP="00FB42F7">
            <w:pPr>
              <w:kinsoku w:val="0"/>
              <w:overflowPunct w:val="0"/>
              <w:autoSpaceDE w:val="0"/>
              <w:autoSpaceDN w:val="0"/>
              <w:adjustRightInd w:val="0"/>
              <w:spacing w:line="258" w:lineRule="exact"/>
            </w:pPr>
            <w:r w:rsidRPr="002D315E">
              <w:t>Shallow evaporites, other enriched dissolved elements such as K or B</w:t>
            </w:r>
          </w:p>
        </w:tc>
        <w:tc>
          <w:tcPr>
            <w:tcW w:w="2425" w:type="dxa"/>
            <w:tcBorders>
              <w:top w:val="single" w:sz="4" w:space="0" w:color="auto"/>
              <w:left w:val="single" w:sz="4" w:space="0" w:color="auto"/>
              <w:bottom w:val="single" w:sz="4" w:space="0" w:color="auto"/>
              <w:right w:val="single" w:sz="4" w:space="0" w:color="auto"/>
            </w:tcBorders>
            <w:hideMark/>
          </w:tcPr>
          <w:p w14:paraId="26FB6084" w14:textId="77777777" w:rsidR="00C71F29" w:rsidRPr="002D315E" w:rsidRDefault="00C71F29" w:rsidP="00FB42F7">
            <w:pPr>
              <w:kinsoku w:val="0"/>
              <w:overflowPunct w:val="0"/>
              <w:autoSpaceDE w:val="0"/>
              <w:autoSpaceDN w:val="0"/>
              <w:adjustRightInd w:val="0"/>
              <w:spacing w:line="258" w:lineRule="exact"/>
            </w:pPr>
            <w:r w:rsidRPr="002D315E">
              <w:t xml:space="preserve">Hydrocarbons and/or inert gases, dissolved cations / anions (e.g. bromine, magnesium, </w:t>
            </w:r>
            <w:r w:rsidRPr="002D315E">
              <w:lastRenderedPageBreak/>
              <w:t>calcium, strontium, barium)</w:t>
            </w:r>
          </w:p>
        </w:tc>
        <w:tc>
          <w:tcPr>
            <w:tcW w:w="2425" w:type="dxa"/>
            <w:tcBorders>
              <w:top w:val="single" w:sz="4" w:space="0" w:color="auto"/>
              <w:left w:val="single" w:sz="4" w:space="0" w:color="auto"/>
              <w:bottom w:val="single" w:sz="4" w:space="0" w:color="auto"/>
              <w:right w:val="single" w:sz="4" w:space="0" w:color="auto"/>
            </w:tcBorders>
            <w:hideMark/>
          </w:tcPr>
          <w:p w14:paraId="14B263C0" w14:textId="77777777" w:rsidR="00C71F29" w:rsidRPr="002D315E" w:rsidRDefault="00C71F29" w:rsidP="00FB42F7">
            <w:pPr>
              <w:kinsoku w:val="0"/>
              <w:overflowPunct w:val="0"/>
              <w:autoSpaceDE w:val="0"/>
              <w:autoSpaceDN w:val="0"/>
              <w:adjustRightInd w:val="0"/>
              <w:spacing w:line="258" w:lineRule="exact"/>
            </w:pPr>
            <w:r w:rsidRPr="002D315E">
              <w:lastRenderedPageBreak/>
              <w:t>Geothermal energy, other critical metals (e.g. manganese, zinc, potassium)</w:t>
            </w:r>
          </w:p>
        </w:tc>
      </w:tr>
      <w:tr w:rsidR="00C71F29" w:rsidRPr="00710DFC" w14:paraId="0FF31107" w14:textId="77777777" w:rsidTr="00FB42F7">
        <w:tc>
          <w:tcPr>
            <w:tcW w:w="2268" w:type="dxa"/>
            <w:tcBorders>
              <w:top w:val="single" w:sz="4" w:space="0" w:color="auto"/>
              <w:left w:val="single" w:sz="4" w:space="0" w:color="auto"/>
              <w:bottom w:val="single" w:sz="4" w:space="0" w:color="auto"/>
              <w:right w:val="single" w:sz="4" w:space="0" w:color="auto"/>
            </w:tcBorders>
            <w:hideMark/>
          </w:tcPr>
          <w:p w14:paraId="70F8761A" w14:textId="77777777" w:rsidR="00C71F29" w:rsidRPr="002D315E" w:rsidRDefault="00C71F29" w:rsidP="00FB42F7">
            <w:pPr>
              <w:kinsoku w:val="0"/>
              <w:overflowPunct w:val="0"/>
              <w:autoSpaceDE w:val="0"/>
              <w:autoSpaceDN w:val="0"/>
              <w:adjustRightInd w:val="0"/>
              <w:spacing w:line="258" w:lineRule="exact"/>
            </w:pPr>
            <w:r w:rsidRPr="002D315E">
              <w:lastRenderedPageBreak/>
              <w:t>World examples</w:t>
            </w:r>
          </w:p>
        </w:tc>
        <w:tc>
          <w:tcPr>
            <w:tcW w:w="2424" w:type="dxa"/>
            <w:tcBorders>
              <w:top w:val="single" w:sz="4" w:space="0" w:color="auto"/>
              <w:left w:val="single" w:sz="4" w:space="0" w:color="auto"/>
              <w:bottom w:val="single" w:sz="4" w:space="0" w:color="auto"/>
              <w:right w:val="single" w:sz="4" w:space="0" w:color="auto"/>
            </w:tcBorders>
            <w:hideMark/>
          </w:tcPr>
          <w:p w14:paraId="06D7BB42" w14:textId="77777777" w:rsidR="00C71F29" w:rsidRPr="002D315E" w:rsidRDefault="00C71F29" w:rsidP="00FB42F7">
            <w:pPr>
              <w:kinsoku w:val="0"/>
              <w:overflowPunct w:val="0"/>
              <w:autoSpaceDE w:val="0"/>
              <w:autoSpaceDN w:val="0"/>
              <w:adjustRightInd w:val="0"/>
              <w:spacing w:line="258" w:lineRule="exact"/>
            </w:pPr>
            <w:r w:rsidRPr="002D315E">
              <w:t>Argentina, Chile, Bolivia, China, Nevada, Utah</w:t>
            </w:r>
          </w:p>
        </w:tc>
        <w:tc>
          <w:tcPr>
            <w:tcW w:w="2425" w:type="dxa"/>
            <w:tcBorders>
              <w:top w:val="single" w:sz="4" w:space="0" w:color="auto"/>
              <w:left w:val="single" w:sz="4" w:space="0" w:color="auto"/>
              <w:bottom w:val="single" w:sz="4" w:space="0" w:color="auto"/>
              <w:right w:val="single" w:sz="4" w:space="0" w:color="auto"/>
            </w:tcBorders>
            <w:hideMark/>
          </w:tcPr>
          <w:p w14:paraId="1D37978A" w14:textId="77777777" w:rsidR="00C71F29" w:rsidRPr="002D315E" w:rsidRDefault="00C71F29" w:rsidP="00FB42F7">
            <w:pPr>
              <w:kinsoku w:val="0"/>
              <w:overflowPunct w:val="0"/>
              <w:autoSpaceDE w:val="0"/>
              <w:autoSpaceDN w:val="0"/>
              <w:adjustRightInd w:val="0"/>
              <w:spacing w:line="258" w:lineRule="exact"/>
            </w:pPr>
            <w:r w:rsidRPr="002D315E">
              <w:t>Leduc Fm (western Canada), Smackover Fm (southern US)</w:t>
            </w:r>
          </w:p>
        </w:tc>
        <w:tc>
          <w:tcPr>
            <w:tcW w:w="2425" w:type="dxa"/>
            <w:tcBorders>
              <w:top w:val="single" w:sz="4" w:space="0" w:color="auto"/>
              <w:left w:val="single" w:sz="4" w:space="0" w:color="auto"/>
              <w:bottom w:val="single" w:sz="4" w:space="0" w:color="auto"/>
              <w:right w:val="single" w:sz="4" w:space="0" w:color="auto"/>
            </w:tcBorders>
            <w:hideMark/>
          </w:tcPr>
          <w:p w14:paraId="78BD4453" w14:textId="77777777" w:rsidR="00C71F29" w:rsidRPr="002D315E" w:rsidRDefault="00C71F29" w:rsidP="00FB42F7">
            <w:pPr>
              <w:kinsoku w:val="0"/>
              <w:overflowPunct w:val="0"/>
              <w:autoSpaceDE w:val="0"/>
              <w:autoSpaceDN w:val="0"/>
              <w:adjustRightInd w:val="0"/>
              <w:spacing w:line="258" w:lineRule="exact"/>
            </w:pPr>
            <w:r w:rsidRPr="002D315E">
              <w:t>Salton Sea (California), Rhine Graben (Germany, France)</w:t>
            </w:r>
          </w:p>
        </w:tc>
      </w:tr>
    </w:tbl>
    <w:p w14:paraId="1AD35B10" w14:textId="77777777" w:rsidR="00EE2AF7" w:rsidRPr="00DE2EDD" w:rsidRDefault="00EE2AF7" w:rsidP="00EE2AF7">
      <w:pPr>
        <w:keepNext/>
        <w:spacing w:after="200"/>
        <w:rPr>
          <w:rFonts w:ascii="Aptos" w:eastAsia="Aptos" w:hAnsi="Aptos" w:cs="Arial"/>
          <w:i/>
          <w:iCs/>
          <w:color w:val="1F497D" w:themeColor="text2"/>
          <w:sz w:val="18"/>
          <w:szCs w:val="18"/>
        </w:rPr>
      </w:pPr>
      <w:r w:rsidRPr="00DE2EDD">
        <w:rPr>
          <w:rFonts w:ascii="Aptos" w:eastAsia="Aptos" w:hAnsi="Aptos" w:cs="Arial"/>
          <w:i/>
          <w:iCs/>
          <w:color w:val="1F497D" w:themeColor="text2"/>
          <w:sz w:val="18"/>
          <w:szCs w:val="18"/>
        </w:rPr>
        <w:t xml:space="preserve">Table </w:t>
      </w:r>
      <w:r w:rsidRPr="00DE2EDD">
        <w:rPr>
          <w:rFonts w:ascii="Aptos" w:eastAsia="Aptos" w:hAnsi="Aptos" w:cs="Arial"/>
          <w:i/>
          <w:iCs/>
          <w:color w:val="1F497D" w:themeColor="text2"/>
          <w:sz w:val="18"/>
          <w:szCs w:val="18"/>
        </w:rPr>
        <w:fldChar w:fldCharType="begin"/>
      </w:r>
      <w:r w:rsidRPr="00DE2EDD">
        <w:rPr>
          <w:rFonts w:ascii="Aptos" w:eastAsia="Aptos" w:hAnsi="Aptos" w:cs="Arial"/>
          <w:i/>
          <w:iCs/>
          <w:color w:val="1F497D" w:themeColor="text2"/>
          <w:sz w:val="18"/>
          <w:szCs w:val="18"/>
        </w:rPr>
        <w:instrText xml:space="preserve"> SEQ Table \* ARABIC </w:instrText>
      </w:r>
      <w:r w:rsidRPr="00DE2EDD">
        <w:rPr>
          <w:rFonts w:ascii="Aptos" w:eastAsia="Aptos" w:hAnsi="Aptos" w:cs="Arial"/>
          <w:i/>
          <w:iCs/>
          <w:color w:val="1F497D" w:themeColor="text2"/>
          <w:sz w:val="18"/>
          <w:szCs w:val="18"/>
        </w:rPr>
        <w:fldChar w:fldCharType="separate"/>
      </w:r>
      <w:r w:rsidRPr="00DE2EDD">
        <w:rPr>
          <w:rFonts w:ascii="Aptos" w:eastAsia="Aptos" w:hAnsi="Aptos" w:cs="Arial"/>
          <w:i/>
          <w:iCs/>
          <w:color w:val="1F497D" w:themeColor="text2"/>
          <w:sz w:val="18"/>
          <w:szCs w:val="18"/>
        </w:rPr>
        <w:t>1</w:t>
      </w:r>
      <w:r w:rsidRPr="00DE2EDD">
        <w:rPr>
          <w:rFonts w:ascii="Aptos" w:eastAsia="Aptos" w:hAnsi="Aptos" w:cs="Arial"/>
          <w:i/>
          <w:iCs/>
          <w:color w:val="1F497D" w:themeColor="text2"/>
          <w:sz w:val="18"/>
          <w:szCs w:val="18"/>
        </w:rPr>
        <w:fldChar w:fldCharType="end"/>
      </w:r>
      <w:r w:rsidRPr="00DE2EDD">
        <w:rPr>
          <w:rFonts w:ascii="Aptos" w:eastAsia="Aptos" w:hAnsi="Aptos" w:cs="Arial"/>
          <w:i/>
          <w:iCs/>
          <w:color w:val="1F497D" w:themeColor="text2"/>
          <w:sz w:val="18"/>
          <w:szCs w:val="18"/>
        </w:rPr>
        <w:t>: Comparison of brine deposit types</w:t>
      </w:r>
    </w:p>
    <w:p w14:paraId="70B29EF4" w14:textId="77777777" w:rsidR="00C71F29" w:rsidRPr="004032CD" w:rsidRDefault="00C71F29" w:rsidP="00C71F29">
      <w:r w:rsidRPr="002506B3">
        <w:rPr>
          <w:noProof/>
        </w:rPr>
        <w:drawing>
          <wp:inline distT="0" distB="0" distL="0" distR="0" wp14:anchorId="1092DAE9" wp14:editId="6CE4DFED">
            <wp:extent cx="5943600" cy="4158787"/>
            <wp:effectExtent l="0" t="0" r="0" b="0"/>
            <wp:docPr id="4" name="Content Placeholder 4">
              <a:extLst xmlns:a="http://schemas.openxmlformats.org/drawingml/2006/main">
                <a:ext uri="{FF2B5EF4-FFF2-40B4-BE49-F238E27FC236}">
                  <a16:creationId xmlns:a16="http://schemas.microsoft.com/office/drawing/2014/main" id="{63291DE9-42BF-76BC-6CA0-391FCEFD0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63291DE9-42BF-76BC-6CA0-391FCEFD0D58}"/>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4158787"/>
                    </a:xfrm>
                    <a:prstGeom prst="rect">
                      <a:avLst/>
                    </a:prstGeom>
                  </pic:spPr>
                </pic:pic>
              </a:graphicData>
            </a:graphic>
          </wp:inline>
        </w:drawing>
      </w:r>
    </w:p>
    <w:p w14:paraId="76260C29" w14:textId="05468080" w:rsidR="00CA5D22" w:rsidRPr="00A7369C" w:rsidRDefault="006660BC" w:rsidP="00A7369C">
      <w:pPr>
        <w:keepNext/>
        <w:spacing w:after="200"/>
        <w:rPr>
          <w:rFonts w:ascii="Aptos" w:eastAsia="Aptos" w:hAnsi="Aptos" w:cs="Arial"/>
          <w:i/>
          <w:iCs/>
          <w:color w:val="1F497D" w:themeColor="text2"/>
          <w:sz w:val="18"/>
          <w:szCs w:val="18"/>
        </w:rPr>
      </w:pPr>
      <w:r w:rsidRPr="00B30534">
        <w:rPr>
          <w:rFonts w:ascii="Aptos" w:eastAsia="Aptos" w:hAnsi="Aptos" w:cs="Arial"/>
          <w:i/>
          <w:iCs/>
          <w:color w:val="1F497D" w:themeColor="text2"/>
          <w:sz w:val="18"/>
          <w:szCs w:val="18"/>
        </w:rPr>
        <w:t xml:space="preserve">Figure </w:t>
      </w:r>
      <w:r w:rsidRPr="00B30534">
        <w:rPr>
          <w:rFonts w:ascii="Aptos" w:eastAsia="Aptos" w:hAnsi="Aptos" w:cs="Arial"/>
          <w:i/>
          <w:iCs/>
          <w:color w:val="1F497D" w:themeColor="text2"/>
          <w:sz w:val="18"/>
          <w:szCs w:val="18"/>
        </w:rPr>
        <w:fldChar w:fldCharType="begin"/>
      </w:r>
      <w:r w:rsidRPr="00B30534">
        <w:rPr>
          <w:rFonts w:ascii="Aptos" w:eastAsia="Aptos" w:hAnsi="Aptos" w:cs="Arial"/>
          <w:i/>
          <w:iCs/>
          <w:color w:val="1F497D" w:themeColor="text2"/>
          <w:sz w:val="18"/>
          <w:szCs w:val="18"/>
        </w:rPr>
        <w:instrText xml:space="preserve"> SEQ Table \* ARABIC </w:instrText>
      </w:r>
      <w:r w:rsidRPr="00B30534">
        <w:rPr>
          <w:rFonts w:ascii="Aptos" w:eastAsia="Aptos" w:hAnsi="Aptos" w:cs="Arial"/>
          <w:i/>
          <w:iCs/>
          <w:color w:val="1F497D" w:themeColor="text2"/>
          <w:sz w:val="18"/>
          <w:szCs w:val="18"/>
        </w:rPr>
        <w:fldChar w:fldCharType="separate"/>
      </w:r>
      <w:r w:rsidRPr="00B30534">
        <w:rPr>
          <w:rFonts w:ascii="Aptos" w:eastAsia="Aptos" w:hAnsi="Aptos" w:cs="Arial"/>
          <w:i/>
          <w:iCs/>
          <w:color w:val="1F497D" w:themeColor="text2"/>
          <w:sz w:val="18"/>
          <w:szCs w:val="18"/>
        </w:rPr>
        <w:t>1</w:t>
      </w:r>
      <w:r w:rsidRPr="00B30534">
        <w:rPr>
          <w:rFonts w:ascii="Aptos" w:eastAsia="Aptos" w:hAnsi="Aptos" w:cs="Arial"/>
          <w:i/>
          <w:iCs/>
          <w:color w:val="1F497D" w:themeColor="text2"/>
          <w:sz w:val="18"/>
          <w:szCs w:val="18"/>
        </w:rPr>
        <w:fldChar w:fldCharType="end"/>
      </w:r>
      <w:r w:rsidRPr="00B30534">
        <w:rPr>
          <w:rFonts w:ascii="Aptos" w:eastAsia="Aptos" w:hAnsi="Aptos" w:cs="Arial"/>
          <w:i/>
          <w:iCs/>
          <w:color w:val="1F497D" w:themeColor="text2"/>
          <w:sz w:val="18"/>
          <w:szCs w:val="18"/>
        </w:rPr>
        <w:t>: Overview of lithium brine deposits</w:t>
      </w:r>
    </w:p>
    <w:p w14:paraId="4FCCDD78" w14:textId="4BD64F93" w:rsidR="00A3520F" w:rsidRPr="00C65688" w:rsidRDefault="00A3520F" w:rsidP="00A3520F">
      <w:pPr>
        <w:pStyle w:val="Heading1"/>
        <w:ind w:left="720" w:hanging="720"/>
        <w:rPr>
          <w:rFonts w:ascii="Times New Roman" w:eastAsia="Times New Roman" w:hAnsi="Times New Roman" w:cs="Times New Roman"/>
          <w:color w:val="365F91" w:themeColor="accent1" w:themeShade="BF"/>
        </w:rPr>
      </w:pPr>
      <w:bookmarkStart w:id="10" w:name="_Toc212629255"/>
      <w:r>
        <w:rPr>
          <w:rFonts w:ascii="Times New Roman" w:eastAsia="Times New Roman" w:hAnsi="Times New Roman" w:cs="Times New Roman"/>
          <w:color w:val="365F91" w:themeColor="accent1" w:themeShade="BF"/>
        </w:rPr>
        <w:t>4</w:t>
      </w:r>
      <w:r w:rsidRPr="00C65688">
        <w:rPr>
          <w:rFonts w:ascii="Times New Roman" w:eastAsia="Times New Roman" w:hAnsi="Times New Roman" w:cs="Times New Roman"/>
          <w:color w:val="365F91" w:themeColor="accent1" w:themeShade="BF"/>
        </w:rPr>
        <w:t>.</w:t>
      </w:r>
      <w:r w:rsidRPr="00C65688">
        <w:rPr>
          <w:rFonts w:ascii="Times New Roman" w:eastAsia="Times New Roman" w:hAnsi="Times New Roman" w:cs="Times New Roman"/>
          <w:color w:val="365F91" w:themeColor="accent1" w:themeShade="BF"/>
        </w:rPr>
        <w:tab/>
      </w:r>
      <w:r w:rsidR="00652483">
        <w:rPr>
          <w:rFonts w:ascii="Times New Roman" w:eastAsia="Times New Roman" w:hAnsi="Times New Roman" w:cs="Times New Roman"/>
          <w:color w:val="365F91" w:themeColor="accent1" w:themeShade="BF"/>
        </w:rPr>
        <w:t>Data Collection and Analysis</w:t>
      </w:r>
      <w:bookmarkEnd w:id="10"/>
    </w:p>
    <w:p w14:paraId="01592ACD" w14:textId="0BAA5AE8" w:rsidR="00A3520F" w:rsidRDefault="00A3520F" w:rsidP="00A3520F">
      <w:pPr>
        <w:pStyle w:val="Heading2"/>
        <w:ind w:left="360" w:firstLine="0"/>
        <w:jc w:val="both"/>
        <w:rPr>
          <w:rFonts w:ascii="Times New Roman" w:hAnsi="Times New Roman" w:cs="Times New Roman"/>
          <w:color w:val="365F91" w:themeColor="accent1" w:themeShade="BF"/>
        </w:rPr>
      </w:pPr>
      <w:bookmarkStart w:id="11" w:name="_Toc212629256"/>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 xml:space="preserve">.1.   </w:t>
      </w:r>
      <w:r w:rsidR="00652483">
        <w:rPr>
          <w:rFonts w:ascii="Times New Roman" w:hAnsi="Times New Roman" w:cs="Times New Roman"/>
          <w:color w:val="365F91" w:themeColor="accent1" w:themeShade="BF"/>
        </w:rPr>
        <w:t>Overview</w:t>
      </w:r>
      <w:bookmarkEnd w:id="11"/>
    </w:p>
    <w:p w14:paraId="44FB0EEE" w14:textId="77777777" w:rsidR="0020339F" w:rsidRDefault="0020339F" w:rsidP="00F24DA0">
      <w:pPr>
        <w:ind w:left="1077"/>
        <w:jc w:val="both"/>
      </w:pPr>
      <w:r>
        <w:t xml:space="preserve">Unique to lithium-brine deposits is the reactivity and mobility of the mineral. </w:t>
      </w:r>
      <w:r w:rsidRPr="00465A14">
        <w:t xml:space="preserve">The development and application of specific procedures for </w:t>
      </w:r>
      <w:r>
        <w:t xml:space="preserve">lithium grade </w:t>
      </w:r>
      <w:r w:rsidRPr="00465A14">
        <w:t xml:space="preserve">data collection are </w:t>
      </w:r>
      <w:r>
        <w:t xml:space="preserve">critical to </w:t>
      </w:r>
      <w:r w:rsidRPr="00465A14">
        <w:t xml:space="preserve">the foundation </w:t>
      </w:r>
      <w:r>
        <w:t>of the mineral estimates</w:t>
      </w:r>
      <w:r w:rsidRPr="00465A14">
        <w:t xml:space="preserve">. </w:t>
      </w:r>
      <w:r>
        <w:t xml:space="preserve"> </w:t>
      </w:r>
    </w:p>
    <w:p w14:paraId="6E788731" w14:textId="77777777" w:rsidR="0020339F" w:rsidRDefault="0020339F" w:rsidP="00F24DA0">
      <w:pPr>
        <w:ind w:left="1077"/>
        <w:jc w:val="both"/>
      </w:pPr>
    </w:p>
    <w:p w14:paraId="4F4289DF" w14:textId="619DF627" w:rsidR="00AA2EB5" w:rsidRPr="00317430" w:rsidRDefault="0020339F" w:rsidP="00A7369C">
      <w:pPr>
        <w:ind w:left="1077"/>
        <w:jc w:val="both"/>
      </w:pPr>
      <w:r w:rsidRPr="00317430">
        <w:t>This section discusses widely used methods for sedimentary basin and geothermal brine exploration, the goal of</w:t>
      </w:r>
      <w:r>
        <w:t xml:space="preserve"> </w:t>
      </w:r>
      <w:r w:rsidRPr="00317430">
        <w:t>which is to characterize lateral and vertical distributions of brine chemistry and formation properties. Brine chemistry should be understood both in terms of valuable elements and potentially deleterious elements that may negatively impact brine pumping and/or processing. Formation properties should be understood both in terms of variables key to the volumetric estimation and variable key to producibility and recoverability of the lithium.</w:t>
      </w:r>
    </w:p>
    <w:p w14:paraId="5ABCEAFB" w14:textId="31A2BA5E" w:rsidR="00AA2EB5" w:rsidRDefault="00AA2EB5" w:rsidP="00AA2EB5">
      <w:pPr>
        <w:pStyle w:val="Heading2"/>
        <w:ind w:left="360" w:firstLine="0"/>
        <w:jc w:val="both"/>
        <w:rPr>
          <w:rFonts w:ascii="Times New Roman" w:hAnsi="Times New Roman" w:cs="Times New Roman"/>
          <w:color w:val="365F91" w:themeColor="accent1" w:themeShade="BF"/>
        </w:rPr>
      </w:pPr>
      <w:bookmarkStart w:id="12" w:name="_Toc212629257"/>
      <w:r>
        <w:rPr>
          <w:rFonts w:ascii="Times New Roman" w:hAnsi="Times New Roman" w:cs="Times New Roman"/>
          <w:color w:val="365F91" w:themeColor="accent1" w:themeShade="BF"/>
        </w:rPr>
        <w:lastRenderedPageBreak/>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2</w:t>
      </w:r>
      <w:r w:rsidRPr="00C65688">
        <w:rPr>
          <w:rFonts w:ascii="Times New Roman" w:hAnsi="Times New Roman" w:cs="Times New Roman"/>
          <w:color w:val="365F91" w:themeColor="accent1" w:themeShade="BF"/>
        </w:rPr>
        <w:t xml:space="preserve">.   </w:t>
      </w:r>
      <w:r w:rsidR="000765B8" w:rsidRPr="000765B8">
        <w:rPr>
          <w:rFonts w:ascii="Times New Roman" w:hAnsi="Times New Roman" w:cs="Times New Roman"/>
          <w:color w:val="365F91" w:themeColor="accent1" w:themeShade="BF"/>
        </w:rPr>
        <w:t>Lithium Brine Resource Parameters</w:t>
      </w:r>
      <w:bookmarkEnd w:id="12"/>
    </w:p>
    <w:p w14:paraId="5B9F93F7" w14:textId="4BFAAE52" w:rsidR="001D1C2C" w:rsidRPr="00465A14" w:rsidRDefault="001D1C2C" w:rsidP="001D1C2C">
      <w:pPr>
        <w:ind w:left="1077"/>
        <w:jc w:val="both"/>
      </w:pPr>
      <w:r w:rsidRPr="00465A14">
        <w:t xml:space="preserve">Lithium </w:t>
      </w:r>
      <w:r>
        <w:t>B</w:t>
      </w:r>
      <w:r w:rsidRPr="00465A14">
        <w:t xml:space="preserve">rine </w:t>
      </w:r>
      <w:r>
        <w:t>R</w:t>
      </w:r>
      <w:r w:rsidRPr="00465A14">
        <w:t>esource</w:t>
      </w:r>
      <w:r>
        <w:t>s</w:t>
      </w:r>
      <w:r w:rsidRPr="00465A14">
        <w:t xml:space="preserve"> may be estimated </w:t>
      </w:r>
      <w:r>
        <w:t>using</w:t>
      </w:r>
      <w:r w:rsidRPr="00465A14">
        <w:t xml:space="preserve"> a range of modelling methods, from simple</w:t>
      </w:r>
      <w:r>
        <w:t xml:space="preserve"> and relatively high-level </w:t>
      </w:r>
      <w:r w:rsidRPr="00465A14">
        <w:t>calculations compiled in a spreadsheet to 3-D models that represent detailed spatial trends. Generally, models with a higher degree of spatial representation will provide estimates</w:t>
      </w:r>
      <w:r>
        <w:t xml:space="preserve"> that are more robust</w:t>
      </w:r>
      <w:r w:rsidRPr="00465A14">
        <w:t xml:space="preserve"> </w:t>
      </w:r>
      <w:proofErr w:type="gramStart"/>
      <w:r w:rsidRPr="00465A14">
        <w:t>as long as</w:t>
      </w:r>
      <w:proofErr w:type="gramEnd"/>
      <w:r w:rsidRPr="00465A14">
        <w:t xml:space="preserve"> the supporting data and the trend analyses are validated. Regardless of the modelling methods used, some consideration of the following parameters should be included:</w:t>
      </w:r>
    </w:p>
    <w:p w14:paraId="13FC4FD0" w14:textId="77777777" w:rsidR="001D1C2C" w:rsidRPr="00465A14" w:rsidRDefault="001D1C2C" w:rsidP="00926B79">
      <w:pPr>
        <w:pStyle w:val="ListParagraph"/>
        <w:widowControl/>
        <w:numPr>
          <w:ilvl w:val="0"/>
          <w:numId w:val="22"/>
        </w:numPr>
        <w:ind w:left="1797" w:hanging="357"/>
        <w:contextualSpacing/>
        <w:jc w:val="both"/>
      </w:pPr>
      <w:r w:rsidRPr="00465A14">
        <w:t>Ownership concession boundaries (outside of which mineral and/or thermal resources should be</w:t>
      </w:r>
      <w:r>
        <w:t xml:space="preserve"> reported in alignment with local regulations</w:t>
      </w:r>
      <w:r w:rsidRPr="00465A14">
        <w:t>)</w:t>
      </w:r>
    </w:p>
    <w:p w14:paraId="518E9EC6" w14:textId="77777777" w:rsidR="001D1C2C" w:rsidRPr="00465A14" w:rsidRDefault="001D1C2C" w:rsidP="00926B79">
      <w:pPr>
        <w:pStyle w:val="ListParagraph"/>
        <w:widowControl/>
        <w:numPr>
          <w:ilvl w:val="2"/>
          <w:numId w:val="22"/>
        </w:numPr>
        <w:contextualSpacing/>
        <w:jc w:val="both"/>
      </w:pPr>
      <w:r w:rsidRPr="00465A14">
        <w:t xml:space="preserve">Alternate ownership structures and their impact should be clearly disclosed.  </w:t>
      </w:r>
      <w:r>
        <w:t xml:space="preserve">As lithium brine deposits have a lot in common with petroleum and natural gas resources, leveraging knowledge from that sector is appropriate.  </w:t>
      </w:r>
      <w:r w:rsidRPr="00465A14">
        <w:t>The Application Guidelines for PRMS is a reference which may be useful for the Practitioner to review.</w:t>
      </w:r>
    </w:p>
    <w:p w14:paraId="676E0551" w14:textId="77777777" w:rsidR="001D1C2C" w:rsidRPr="00465A14" w:rsidRDefault="001D1C2C" w:rsidP="00926B79">
      <w:pPr>
        <w:pStyle w:val="ListParagraph"/>
        <w:widowControl/>
        <w:numPr>
          <w:ilvl w:val="0"/>
          <w:numId w:val="22"/>
        </w:numPr>
        <w:ind w:left="1797" w:hanging="357"/>
        <w:contextualSpacing/>
        <w:jc w:val="both"/>
      </w:pPr>
      <w:r w:rsidRPr="00465A14">
        <w:t>Deposit geometry in three dimensions, including a definition of subsurface hydrogeologic</w:t>
      </w:r>
      <w:r>
        <w:t>al</w:t>
      </w:r>
      <w:r w:rsidRPr="00465A14">
        <w:t xml:space="preserve"> units (areal extent; thickness; porosity; permeability) and an understanding of hydraulic boundaries/barriers</w:t>
      </w:r>
    </w:p>
    <w:p w14:paraId="02CEEA24" w14:textId="77777777" w:rsidR="001D1C2C" w:rsidRPr="00465A14" w:rsidRDefault="001D1C2C" w:rsidP="00926B79">
      <w:pPr>
        <w:pStyle w:val="ListParagraph"/>
        <w:widowControl/>
        <w:numPr>
          <w:ilvl w:val="0"/>
          <w:numId w:val="22"/>
        </w:numPr>
        <w:ind w:left="1797" w:hanging="357"/>
        <w:contextualSpacing/>
        <w:jc w:val="both"/>
      </w:pPr>
      <w:r w:rsidRPr="00465A14">
        <w:t>Lithium grade and spatial distribution</w:t>
      </w:r>
    </w:p>
    <w:p w14:paraId="56F92844" w14:textId="77777777" w:rsidR="001D1C2C" w:rsidRPr="00465A14" w:rsidRDefault="001D1C2C" w:rsidP="00926B79">
      <w:pPr>
        <w:pStyle w:val="ListParagraph"/>
        <w:widowControl/>
        <w:numPr>
          <w:ilvl w:val="2"/>
          <w:numId w:val="22"/>
        </w:numPr>
        <w:contextualSpacing/>
        <w:jc w:val="both"/>
      </w:pPr>
      <w:r>
        <w:t>Because a</w:t>
      </w:r>
      <w:r w:rsidRPr="00465A14">
        <w:t>nalysis of concentrated brines is not a routine procedure, and relatively low concentrations of lithium specifically are difficult to measure</w:t>
      </w:r>
      <w:r>
        <w:t>, i</w:t>
      </w:r>
      <w:r w:rsidRPr="00465A14">
        <w:t xml:space="preserve">t is recommended that the Practitioner discuss: </w:t>
      </w:r>
    </w:p>
    <w:p w14:paraId="2F8A9398" w14:textId="77777777" w:rsidR="001D1C2C" w:rsidRPr="00465A14" w:rsidRDefault="001D1C2C" w:rsidP="00926B79">
      <w:pPr>
        <w:pStyle w:val="ListParagraph"/>
        <w:widowControl/>
        <w:numPr>
          <w:ilvl w:val="3"/>
          <w:numId w:val="23"/>
        </w:numPr>
        <w:contextualSpacing/>
        <w:jc w:val="both"/>
      </w:pPr>
      <w:r w:rsidRPr="00465A14">
        <w:t>the quality/completeness of the brine analysis included in the</w:t>
      </w:r>
      <w:r>
        <w:t xml:space="preserve"> resource or reserve </w:t>
      </w:r>
      <w:proofErr w:type="gramStart"/>
      <w:r>
        <w:t>estimate</w:t>
      </w:r>
      <w:r w:rsidRPr="00465A14">
        <w:t>;</w:t>
      </w:r>
      <w:proofErr w:type="gramEnd"/>
      <w:r w:rsidRPr="00465A14">
        <w:t xml:space="preserve"> </w:t>
      </w:r>
    </w:p>
    <w:p w14:paraId="724D055C" w14:textId="77777777" w:rsidR="001D1C2C" w:rsidRPr="00465A14" w:rsidRDefault="001D1C2C" w:rsidP="00926B79">
      <w:pPr>
        <w:pStyle w:val="ListParagraph"/>
        <w:widowControl/>
        <w:numPr>
          <w:ilvl w:val="3"/>
          <w:numId w:val="23"/>
        </w:numPr>
        <w:contextualSpacing/>
        <w:jc w:val="both"/>
      </w:pPr>
      <w:r w:rsidRPr="00465A14">
        <w:t xml:space="preserve">the criteria used to determine that quality/completeness (e.g. a discussion of charge or ion balance, isotope analysis of contamination, and other QA/QC measures); and </w:t>
      </w:r>
    </w:p>
    <w:p w14:paraId="0FD37DC8" w14:textId="77777777" w:rsidR="001D1C2C" w:rsidRPr="00465A14" w:rsidRDefault="001D1C2C" w:rsidP="00926B79">
      <w:pPr>
        <w:pStyle w:val="ListParagraph"/>
        <w:widowControl/>
        <w:numPr>
          <w:ilvl w:val="3"/>
          <w:numId w:val="23"/>
        </w:numPr>
        <w:contextualSpacing/>
        <w:jc w:val="both"/>
      </w:pPr>
      <w:r w:rsidRPr="00465A14">
        <w:t xml:space="preserve">the potential impact of the data quality/completeness on the resource/reserve estimate(s).  </w:t>
      </w:r>
    </w:p>
    <w:p w14:paraId="3F8D0FBD" w14:textId="77777777" w:rsidR="001D1C2C" w:rsidRPr="00465A14" w:rsidRDefault="001D1C2C" w:rsidP="00926B79">
      <w:pPr>
        <w:pStyle w:val="ListParagraph"/>
        <w:widowControl/>
        <w:numPr>
          <w:ilvl w:val="0"/>
          <w:numId w:val="22"/>
        </w:numPr>
        <w:ind w:left="1797" w:hanging="357"/>
        <w:contextualSpacing/>
        <w:jc w:val="both"/>
      </w:pPr>
      <w:r w:rsidRPr="00465A14">
        <w:t xml:space="preserve">Some </w:t>
      </w:r>
      <w:r>
        <w:t>estimate</w:t>
      </w:r>
      <w:r w:rsidRPr="00465A14">
        <w:t xml:space="preserve"> of recoverable brine.</w:t>
      </w:r>
    </w:p>
    <w:p w14:paraId="21A19456" w14:textId="77777777" w:rsidR="001D1C2C" w:rsidRPr="00465A14" w:rsidRDefault="001D1C2C" w:rsidP="001D1C2C">
      <w:pPr>
        <w:ind w:left="1077"/>
        <w:jc w:val="both"/>
      </w:pPr>
    </w:p>
    <w:p w14:paraId="237BEEF6" w14:textId="5CD1D052" w:rsidR="00A3520F" w:rsidRDefault="001D1C2C" w:rsidP="00265273">
      <w:pPr>
        <w:ind w:left="1077"/>
        <w:jc w:val="both"/>
      </w:pPr>
      <w:r w:rsidRPr="00465A14">
        <w:t xml:space="preserve">A preliminary understanding of the lithium cut-off grade selected must be included to support a resource estimate.  If a cut-off grade is estimated or assumed, the additional deposit parameters that need to be collected to verify its reasonableness should be </w:t>
      </w:r>
      <w:r>
        <w:t>stated</w:t>
      </w:r>
      <w:r w:rsidRPr="00465A14">
        <w:t>.</w:t>
      </w:r>
    </w:p>
    <w:p w14:paraId="1FEDB0FB" w14:textId="77777777" w:rsidR="00265273" w:rsidRDefault="00265273" w:rsidP="00265273">
      <w:pPr>
        <w:ind w:left="1077"/>
        <w:jc w:val="both"/>
      </w:pPr>
    </w:p>
    <w:p w14:paraId="30181578" w14:textId="75BDBA46" w:rsidR="00265273" w:rsidRDefault="00265273" w:rsidP="00265273">
      <w:pPr>
        <w:pStyle w:val="Heading2"/>
        <w:ind w:left="360" w:firstLine="0"/>
        <w:jc w:val="both"/>
        <w:rPr>
          <w:rFonts w:ascii="Times New Roman" w:hAnsi="Times New Roman" w:cs="Times New Roman"/>
          <w:color w:val="365F91" w:themeColor="accent1" w:themeShade="BF"/>
        </w:rPr>
      </w:pPr>
      <w:bookmarkStart w:id="13" w:name="_Toc212629258"/>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3</w:t>
      </w:r>
      <w:r w:rsidRPr="00C65688">
        <w:rPr>
          <w:rFonts w:ascii="Times New Roman" w:hAnsi="Times New Roman" w:cs="Times New Roman"/>
          <w:color w:val="365F91" w:themeColor="accent1" w:themeShade="BF"/>
        </w:rPr>
        <w:t xml:space="preserve">.   </w:t>
      </w:r>
      <w:r w:rsidRPr="000765B8">
        <w:rPr>
          <w:rFonts w:ascii="Times New Roman" w:hAnsi="Times New Roman" w:cs="Times New Roman"/>
          <w:color w:val="365F91" w:themeColor="accent1" w:themeShade="BF"/>
        </w:rPr>
        <w:t>Lithium Brine Res</w:t>
      </w:r>
      <w:r w:rsidR="002E4E33">
        <w:rPr>
          <w:rFonts w:ascii="Times New Roman" w:hAnsi="Times New Roman" w:cs="Times New Roman"/>
          <w:color w:val="365F91" w:themeColor="accent1" w:themeShade="BF"/>
        </w:rPr>
        <w:t>erve</w:t>
      </w:r>
      <w:r w:rsidRPr="000765B8">
        <w:rPr>
          <w:rFonts w:ascii="Times New Roman" w:hAnsi="Times New Roman" w:cs="Times New Roman"/>
          <w:color w:val="365F91" w:themeColor="accent1" w:themeShade="BF"/>
        </w:rPr>
        <w:t xml:space="preserve"> Parameters</w:t>
      </w:r>
      <w:bookmarkEnd w:id="13"/>
    </w:p>
    <w:p w14:paraId="266C9485" w14:textId="53C386EE" w:rsidR="00292C0F" w:rsidRPr="00465A14" w:rsidRDefault="00292C0F" w:rsidP="00292C0F">
      <w:pPr>
        <w:ind w:left="1077"/>
        <w:jc w:val="both"/>
      </w:pPr>
      <w:r w:rsidRPr="00465A14">
        <w:t>In addition to the resource parameters described above, to estimate a lithium brine reserve, a fluid flow and solute transport model should be constructed, calibrated to natural (pre-pumping) conditions and transient conditions (to available pumping tests) to support the simulation of long-term production, associated changes in the fluid level/well capacity, and extracted lithium grade. In addition to the above-stated parameters for the resource estimate, additional information is needed to build a reserve model. These include:</w:t>
      </w:r>
    </w:p>
    <w:p w14:paraId="2E8A7381" w14:textId="77777777" w:rsidR="00292C0F" w:rsidRPr="00465A14" w:rsidRDefault="00292C0F" w:rsidP="00F24DA0">
      <w:pPr>
        <w:pStyle w:val="ListParagraph"/>
        <w:widowControl/>
        <w:numPr>
          <w:ilvl w:val="0"/>
          <w:numId w:val="25"/>
        </w:numPr>
        <w:ind w:left="1797" w:hanging="357"/>
        <w:contextualSpacing/>
        <w:jc w:val="both"/>
      </w:pPr>
      <w:r w:rsidRPr="00465A14">
        <w:t xml:space="preserve">Hydraulic conductivity and reservoir </w:t>
      </w:r>
      <w:proofErr w:type="spellStart"/>
      <w:r w:rsidRPr="00465A14">
        <w:t>storativity</w:t>
      </w:r>
      <w:proofErr w:type="spellEnd"/>
      <w:r w:rsidRPr="00465A14">
        <w:t xml:space="preserve"> (e.g. permeability, flow capacity) for each defined hydrogeologic</w:t>
      </w:r>
      <w:r>
        <w:t>al</w:t>
      </w:r>
      <w:r w:rsidRPr="00465A14">
        <w:t xml:space="preserve"> </w:t>
      </w:r>
      <w:proofErr w:type="gramStart"/>
      <w:r w:rsidRPr="00465A14">
        <w:t>unit;</w:t>
      </w:r>
      <w:proofErr w:type="gramEnd"/>
    </w:p>
    <w:p w14:paraId="107DF6C1" w14:textId="77777777" w:rsidR="00292C0F" w:rsidRPr="00465A14" w:rsidRDefault="00292C0F" w:rsidP="00F24DA0">
      <w:pPr>
        <w:pStyle w:val="ListParagraph"/>
        <w:widowControl/>
        <w:numPr>
          <w:ilvl w:val="0"/>
          <w:numId w:val="25"/>
        </w:numPr>
        <w:ind w:left="1797" w:hanging="357"/>
        <w:contextualSpacing/>
        <w:jc w:val="both"/>
      </w:pPr>
      <w:r w:rsidRPr="00465A14">
        <w:t xml:space="preserve">Transport parameters, such as </w:t>
      </w:r>
      <w:proofErr w:type="spellStart"/>
      <w:proofErr w:type="gramStart"/>
      <w:r w:rsidRPr="00465A14">
        <w:t>dispersivity</w:t>
      </w:r>
      <w:proofErr w:type="spellEnd"/>
      <w:r w:rsidRPr="00465A14">
        <w:t>;</w:t>
      </w:r>
      <w:proofErr w:type="gramEnd"/>
      <w:r w:rsidRPr="00465A14">
        <w:t xml:space="preserve"> </w:t>
      </w:r>
    </w:p>
    <w:p w14:paraId="4B700A40" w14:textId="77777777" w:rsidR="00292C0F" w:rsidRPr="00465A14" w:rsidRDefault="00292C0F" w:rsidP="00F24DA0">
      <w:pPr>
        <w:pStyle w:val="ListParagraph"/>
        <w:widowControl/>
        <w:numPr>
          <w:ilvl w:val="0"/>
          <w:numId w:val="25"/>
        </w:numPr>
        <w:ind w:left="1797" w:hanging="357"/>
        <w:contextualSpacing/>
        <w:jc w:val="both"/>
      </w:pPr>
      <w:r w:rsidRPr="00465A14">
        <w:t>Any uncertainties associated with calculating in-situ reservoir fluid properties and compositions from sampled well fluids and gases; and</w:t>
      </w:r>
    </w:p>
    <w:p w14:paraId="244625AC" w14:textId="77777777" w:rsidR="00292C0F" w:rsidRPr="00465A14" w:rsidRDefault="00292C0F" w:rsidP="00F24DA0">
      <w:pPr>
        <w:pStyle w:val="ListParagraph"/>
        <w:widowControl/>
        <w:numPr>
          <w:ilvl w:val="0"/>
          <w:numId w:val="25"/>
        </w:numPr>
        <w:ind w:left="1797" w:hanging="357"/>
        <w:contextualSpacing/>
        <w:jc w:val="both"/>
      </w:pPr>
      <w:r w:rsidRPr="00465A14">
        <w:t xml:space="preserve">Freshwater aquifer locations </w:t>
      </w:r>
    </w:p>
    <w:p w14:paraId="32200AF5" w14:textId="77777777" w:rsidR="00292C0F" w:rsidRPr="00465A14" w:rsidRDefault="00292C0F" w:rsidP="00292C0F">
      <w:pPr>
        <w:ind w:left="1077"/>
        <w:jc w:val="both"/>
      </w:pPr>
    </w:p>
    <w:p w14:paraId="125119D2" w14:textId="77777777" w:rsidR="00292C0F" w:rsidRPr="00465A14" w:rsidRDefault="00292C0F" w:rsidP="00292C0F">
      <w:pPr>
        <w:ind w:left="1077"/>
        <w:jc w:val="both"/>
      </w:pPr>
      <w:r w:rsidRPr="00465A14">
        <w:lastRenderedPageBreak/>
        <w:t>A well-defined (economic) cut-off grade must be included to support a reserve estimate.</w:t>
      </w:r>
    </w:p>
    <w:p w14:paraId="512FC151" w14:textId="77777777" w:rsidR="00265273" w:rsidRDefault="00265273" w:rsidP="00265273">
      <w:pPr>
        <w:ind w:left="1077"/>
        <w:jc w:val="both"/>
      </w:pPr>
    </w:p>
    <w:p w14:paraId="1FD7CE7D" w14:textId="1E1A59DB" w:rsidR="00E51C12" w:rsidRDefault="00E51C12" w:rsidP="00E51C12">
      <w:pPr>
        <w:pStyle w:val="Heading2"/>
        <w:ind w:left="360" w:firstLine="0"/>
        <w:jc w:val="both"/>
        <w:rPr>
          <w:rFonts w:ascii="Times New Roman" w:hAnsi="Times New Roman" w:cs="Times New Roman"/>
          <w:color w:val="365F91" w:themeColor="accent1" w:themeShade="BF"/>
        </w:rPr>
      </w:pPr>
      <w:bookmarkStart w:id="14" w:name="_Toc212629259"/>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 xml:space="preserve">.   </w:t>
      </w:r>
      <w:r w:rsidR="00894C4D">
        <w:rPr>
          <w:rFonts w:ascii="Times New Roman" w:hAnsi="Times New Roman" w:cs="Times New Roman"/>
          <w:color w:val="365F91" w:themeColor="accent1" w:themeShade="BF"/>
        </w:rPr>
        <w:t>Use of Historical Data</w:t>
      </w:r>
      <w:bookmarkEnd w:id="14"/>
    </w:p>
    <w:p w14:paraId="73F5F9BA" w14:textId="50D10382" w:rsidR="00894C4D" w:rsidRPr="00465A14" w:rsidRDefault="00894C4D" w:rsidP="00F24DA0">
      <w:pPr>
        <w:ind w:left="1077"/>
        <w:jc w:val="both"/>
      </w:pPr>
      <w:r w:rsidRPr="00465A14">
        <w:t>In the context of this section</w:t>
      </w:r>
      <w:r>
        <w:t>,</w:t>
      </w:r>
      <w:r w:rsidRPr="00465A14">
        <w:t xml:space="preserve"> “historical data” means data existing on or around the property.  </w:t>
      </w:r>
      <w:r w:rsidRPr="00A57438">
        <w:t>Historical public data can be used for resource / reserve estimates, provided sufficient QA/QC by the Practitioner is employed, thereby converting the data to checked and verified, while disclosing weaknesses in the data.</w:t>
      </w:r>
      <w:r>
        <w:t xml:space="preserve"> </w:t>
      </w:r>
      <w:r w:rsidRPr="00465A14">
        <w:t>Confirmation with modern sampling techniques is recommended for reserve estimates.</w:t>
      </w:r>
    </w:p>
    <w:p w14:paraId="16F3BE4A" w14:textId="77777777" w:rsidR="00E51C12" w:rsidRDefault="00E51C12" w:rsidP="00265273">
      <w:pPr>
        <w:ind w:left="1077"/>
        <w:jc w:val="both"/>
      </w:pPr>
    </w:p>
    <w:p w14:paraId="751EC37F" w14:textId="1BBDAF87" w:rsidR="00533EC1" w:rsidRDefault="00533EC1" w:rsidP="00533EC1">
      <w:pPr>
        <w:pStyle w:val="Heading2"/>
        <w:ind w:left="360" w:firstLine="0"/>
        <w:jc w:val="both"/>
        <w:rPr>
          <w:color w:val="365F91" w:themeColor="accent1" w:themeShade="BF"/>
          <w:lang w:val="en-US"/>
        </w:rPr>
      </w:pPr>
      <w:bookmarkStart w:id="15" w:name="_Toc212629260"/>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 xml:space="preserve">.   </w:t>
      </w:r>
      <w:r w:rsidR="002553D8" w:rsidRPr="0000510B">
        <w:rPr>
          <w:color w:val="365F91" w:themeColor="accent1" w:themeShade="BF"/>
          <w:lang w:val="en-US"/>
        </w:rPr>
        <w:t>Exploration Tools and Methods</w:t>
      </w:r>
      <w:bookmarkEnd w:id="15"/>
    </w:p>
    <w:p w14:paraId="585D83B7" w14:textId="33362663" w:rsidR="00F1131D" w:rsidRDefault="00F1131D" w:rsidP="00F24DA0">
      <w:pPr>
        <w:ind w:left="1077"/>
        <w:jc w:val="both"/>
      </w:pPr>
      <w:r w:rsidRPr="00465A14">
        <w:t xml:space="preserve">Geological and geophysical methods can be </w:t>
      </w:r>
      <w:r>
        <w:t>used</w:t>
      </w:r>
      <w:r w:rsidRPr="00465A14">
        <w:t xml:space="preserve"> to provide an early estimate of the deposit, and well flow-zone, petrophysical and core data obtained during drilling can be used to provide an estimate of the balance of the volumetric parameters required to make an estimate of the resources in place once the concentration of the lithium is established through completion techniques, field testing methodologies, and laboratory assay procedures area applied.</w:t>
      </w:r>
      <w:r>
        <w:t xml:space="preserve"> Examples of common techniques are shown in Table 2.</w:t>
      </w:r>
    </w:p>
    <w:p w14:paraId="1664E070" w14:textId="77777777" w:rsidR="00F1131D" w:rsidRPr="00465A14" w:rsidRDefault="00F1131D" w:rsidP="00F1131D"/>
    <w:tbl>
      <w:tblPr>
        <w:tblStyle w:val="TableGrid"/>
        <w:tblW w:w="9918" w:type="dxa"/>
        <w:jc w:val="center"/>
        <w:tblLook w:val="04A0" w:firstRow="1" w:lastRow="0" w:firstColumn="1" w:lastColumn="0" w:noHBand="0" w:noVBand="1"/>
      </w:tblPr>
      <w:tblGrid>
        <w:gridCol w:w="1621"/>
        <w:gridCol w:w="3973"/>
        <w:gridCol w:w="4324"/>
      </w:tblGrid>
      <w:tr w:rsidR="00F1131D" w:rsidRPr="00465A14" w14:paraId="54D0162A" w14:textId="77777777" w:rsidTr="00B210AB">
        <w:trPr>
          <w:trHeight w:val="292"/>
          <w:jc w:val="center"/>
        </w:trPr>
        <w:tc>
          <w:tcPr>
            <w:tcW w:w="1621" w:type="dxa"/>
            <w:tcBorders>
              <w:bottom w:val="single" w:sz="4" w:space="0" w:color="auto"/>
            </w:tcBorders>
          </w:tcPr>
          <w:p w14:paraId="1692F201" w14:textId="77777777" w:rsidR="00F1131D" w:rsidRPr="00B210AB" w:rsidRDefault="00F1131D" w:rsidP="00FB42F7">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p>
        </w:tc>
        <w:tc>
          <w:tcPr>
            <w:tcW w:w="3973" w:type="dxa"/>
            <w:tcBorders>
              <w:bottom w:val="single" w:sz="4" w:space="0" w:color="auto"/>
            </w:tcBorders>
          </w:tcPr>
          <w:p w14:paraId="1E5AC0C5" w14:textId="77777777" w:rsidR="00F1131D" w:rsidRPr="00B210AB" w:rsidRDefault="00F1131D" w:rsidP="00FB42F7">
            <w:pPr>
              <w:kinsoku w:val="0"/>
              <w:overflowPunct w:val="0"/>
              <w:autoSpaceDE w:val="0"/>
              <w:autoSpaceDN w:val="0"/>
              <w:adjustRightInd w:val="0"/>
              <w:spacing w:line="258" w:lineRule="exact"/>
              <w:jc w:val="center"/>
              <w:rPr>
                <w:rFonts w:ascii="Times New Roman" w:eastAsia="Times New Roman" w:hAnsi="Times New Roman" w:cs="Times New Roman"/>
                <w:b/>
                <w:bCs/>
                <w:kern w:val="0"/>
                <w:sz w:val="22"/>
                <w:szCs w:val="22"/>
                <w:lang w:val="en-GB" w:eastAsia="en-CA"/>
                <w14:ligatures w14:val="none"/>
              </w:rPr>
            </w:pPr>
            <w:r w:rsidRPr="00B210AB">
              <w:rPr>
                <w:rFonts w:ascii="Times New Roman" w:eastAsia="Times New Roman" w:hAnsi="Times New Roman" w:cs="Times New Roman"/>
                <w:b/>
                <w:bCs/>
                <w:kern w:val="0"/>
                <w:sz w:val="22"/>
                <w:szCs w:val="22"/>
                <w:lang w:val="en-GB" w:eastAsia="en-CA"/>
                <w14:ligatures w14:val="none"/>
              </w:rPr>
              <w:t>Sedimentary Basin</w:t>
            </w:r>
          </w:p>
        </w:tc>
        <w:tc>
          <w:tcPr>
            <w:tcW w:w="4324" w:type="dxa"/>
            <w:tcBorders>
              <w:bottom w:val="single" w:sz="4" w:space="0" w:color="auto"/>
            </w:tcBorders>
          </w:tcPr>
          <w:p w14:paraId="1AA20615" w14:textId="77777777" w:rsidR="00F1131D" w:rsidRPr="00B210AB" w:rsidRDefault="00F1131D" w:rsidP="00FB42F7">
            <w:pPr>
              <w:kinsoku w:val="0"/>
              <w:overflowPunct w:val="0"/>
              <w:autoSpaceDE w:val="0"/>
              <w:autoSpaceDN w:val="0"/>
              <w:adjustRightInd w:val="0"/>
              <w:spacing w:line="258" w:lineRule="exact"/>
              <w:jc w:val="center"/>
              <w:rPr>
                <w:rFonts w:ascii="Times New Roman" w:eastAsia="Times New Roman" w:hAnsi="Times New Roman" w:cs="Times New Roman"/>
                <w:b/>
                <w:bCs/>
                <w:kern w:val="0"/>
                <w:sz w:val="22"/>
                <w:szCs w:val="22"/>
                <w:lang w:val="en-GB" w:eastAsia="en-CA"/>
                <w14:ligatures w14:val="none"/>
              </w:rPr>
            </w:pPr>
            <w:r w:rsidRPr="00B210AB">
              <w:rPr>
                <w:rFonts w:ascii="Times New Roman" w:eastAsia="Times New Roman" w:hAnsi="Times New Roman" w:cs="Times New Roman"/>
                <w:b/>
                <w:bCs/>
                <w:kern w:val="0"/>
                <w:sz w:val="22"/>
                <w:szCs w:val="22"/>
                <w:lang w:val="en-GB" w:eastAsia="en-CA"/>
                <w14:ligatures w14:val="none"/>
              </w:rPr>
              <w:t>Geothermal</w:t>
            </w:r>
          </w:p>
        </w:tc>
      </w:tr>
      <w:tr w:rsidR="00F1131D" w:rsidRPr="00465A14" w14:paraId="3E2F11FC" w14:textId="77777777" w:rsidTr="00B210AB">
        <w:trPr>
          <w:jc w:val="center"/>
        </w:trPr>
        <w:tc>
          <w:tcPr>
            <w:tcW w:w="1621" w:type="dxa"/>
          </w:tcPr>
          <w:p w14:paraId="4DEF2E7C" w14:textId="77777777" w:rsidR="00F1131D" w:rsidRPr="00B210AB" w:rsidRDefault="00F1131D"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Surface geophysics</w:t>
            </w:r>
          </w:p>
        </w:tc>
        <w:tc>
          <w:tcPr>
            <w:tcW w:w="3973" w:type="dxa"/>
          </w:tcPr>
          <w:p w14:paraId="6BD73418" w14:textId="77777777"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 xml:space="preserve">Gravity, high-resolution aeromagnetic, 2 D and 3D seismic </w:t>
            </w:r>
          </w:p>
        </w:tc>
        <w:tc>
          <w:tcPr>
            <w:tcW w:w="4324" w:type="dxa"/>
          </w:tcPr>
          <w:p w14:paraId="39F66FE2" w14:textId="77777777"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Gravity, aeromagnetic, magneto-telluric, seismic, heat flow</w:t>
            </w:r>
          </w:p>
        </w:tc>
      </w:tr>
      <w:tr w:rsidR="00F1131D" w:rsidRPr="00465A14" w14:paraId="2FD24923" w14:textId="77777777" w:rsidTr="00B210AB">
        <w:trPr>
          <w:jc w:val="center"/>
        </w:trPr>
        <w:tc>
          <w:tcPr>
            <w:tcW w:w="1621" w:type="dxa"/>
          </w:tcPr>
          <w:p w14:paraId="2ED1C511" w14:textId="77777777" w:rsidR="00F1131D" w:rsidRPr="00B210AB" w:rsidRDefault="00F1131D"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Drilling for geological characterization</w:t>
            </w:r>
          </w:p>
        </w:tc>
        <w:tc>
          <w:tcPr>
            <w:tcW w:w="3973" w:type="dxa"/>
          </w:tcPr>
          <w:p w14:paraId="4081F2D2" w14:textId="73DCF0FC"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Rotary drilling, downhole logging for reservoir characterization (e.g. porosity, lithology, fluid type), core analysis, special core testing including (destructive) compression, tension and axial stress analysis, drill stem testing (for pressure transient analysis), sidewall coring, repeat formation testing while drilling</w:t>
            </w:r>
          </w:p>
        </w:tc>
        <w:tc>
          <w:tcPr>
            <w:tcW w:w="4324" w:type="dxa"/>
          </w:tcPr>
          <w:p w14:paraId="544D2D5E" w14:textId="77777777"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Rotary drilling, downhole logging for reservoir characterization (e.g. porosity, lithology, fluid type), shallow thermal gradient holes, core analysis, special core testing including (destructive) compression, tension and axial stress analysis, drill stem testing (for pressure transient analysis), sidewall coring, repeat formation testing while drilling</w:t>
            </w:r>
          </w:p>
        </w:tc>
      </w:tr>
      <w:tr w:rsidR="00F1131D" w:rsidRPr="00465A14" w14:paraId="29C15EFD" w14:textId="77777777" w:rsidTr="00B210AB">
        <w:trPr>
          <w:jc w:val="center"/>
        </w:trPr>
        <w:tc>
          <w:tcPr>
            <w:tcW w:w="1621" w:type="dxa"/>
          </w:tcPr>
          <w:p w14:paraId="314CA353" w14:textId="77777777" w:rsidR="00F1131D" w:rsidRPr="00B210AB" w:rsidRDefault="00F1131D"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Brine and water sampling</w:t>
            </w:r>
          </w:p>
        </w:tc>
        <w:tc>
          <w:tcPr>
            <w:tcW w:w="3973" w:type="dxa"/>
          </w:tcPr>
          <w:p w14:paraId="6422784C" w14:textId="77777777"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Depth/interval-specific packer testing system and sampling during Drill Stem Tests and completion; swab test sampling; pumping test sampling; composite brine sampling</w:t>
            </w:r>
          </w:p>
        </w:tc>
        <w:tc>
          <w:tcPr>
            <w:tcW w:w="4324" w:type="dxa"/>
          </w:tcPr>
          <w:p w14:paraId="196DF0F3" w14:textId="77777777"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flow-test sampling: weir box, flash separator, Depth/interval-specific packer system sampling and sampling during Drill Stem Tests and completion; swab test sampling; pumping test sampling; composite brine sampling</w:t>
            </w:r>
          </w:p>
        </w:tc>
      </w:tr>
      <w:tr w:rsidR="00F1131D" w:rsidRPr="00465A14" w14:paraId="2291CF02" w14:textId="77777777" w:rsidTr="00B210AB">
        <w:trPr>
          <w:jc w:val="center"/>
        </w:trPr>
        <w:tc>
          <w:tcPr>
            <w:tcW w:w="1621" w:type="dxa"/>
          </w:tcPr>
          <w:p w14:paraId="7A65D909" w14:textId="77777777" w:rsidR="00F1131D" w:rsidRPr="00B210AB" w:rsidRDefault="00F1131D"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Downhole geophysics</w:t>
            </w:r>
          </w:p>
        </w:tc>
        <w:tc>
          <w:tcPr>
            <w:tcW w:w="3973" w:type="dxa"/>
          </w:tcPr>
          <w:p w14:paraId="30443943" w14:textId="77E87615"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e.g.</w:t>
            </w:r>
            <w:r w:rsidR="001D660E" w:rsidRPr="00B210AB">
              <w:rPr>
                <w:rFonts w:ascii="Times New Roman" w:eastAsia="Times New Roman" w:hAnsi="Times New Roman" w:cs="Times New Roman"/>
                <w:kern w:val="0"/>
                <w:sz w:val="22"/>
                <w:szCs w:val="22"/>
                <w:lang w:val="en-GB" w:eastAsia="en-CA"/>
                <w14:ligatures w14:val="none"/>
              </w:rPr>
              <w:t xml:space="preserve">, </w:t>
            </w:r>
            <w:r w:rsidRPr="00B210AB">
              <w:rPr>
                <w:rFonts w:ascii="Times New Roman" w:eastAsia="Times New Roman" w:hAnsi="Times New Roman" w:cs="Times New Roman"/>
                <w:kern w:val="0"/>
                <w:sz w:val="22"/>
                <w:szCs w:val="22"/>
                <w:lang w:val="en-GB" w:eastAsia="en-CA"/>
                <w14:ligatures w14:val="none"/>
              </w:rPr>
              <w:t>Nuclear Magnetic Resonance, Electrical Conductivity/Resistivity, Gamma, Spontaneous Potential, spinner/temperature (after completion), imaging</w:t>
            </w:r>
          </w:p>
        </w:tc>
        <w:tc>
          <w:tcPr>
            <w:tcW w:w="4324" w:type="dxa"/>
          </w:tcPr>
          <w:p w14:paraId="44559715" w14:textId="24FB3AB7"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e.g.</w:t>
            </w:r>
            <w:r w:rsidR="001D660E" w:rsidRPr="00B210AB">
              <w:rPr>
                <w:rFonts w:ascii="Times New Roman" w:eastAsia="Times New Roman" w:hAnsi="Times New Roman" w:cs="Times New Roman"/>
                <w:kern w:val="0"/>
                <w:sz w:val="22"/>
                <w:szCs w:val="22"/>
                <w:lang w:val="en-GB" w:eastAsia="en-CA"/>
                <w14:ligatures w14:val="none"/>
              </w:rPr>
              <w:t xml:space="preserve">, </w:t>
            </w:r>
            <w:r w:rsidRPr="00B210AB">
              <w:rPr>
                <w:rFonts w:ascii="Times New Roman" w:eastAsia="Times New Roman" w:hAnsi="Times New Roman" w:cs="Times New Roman"/>
                <w:kern w:val="0"/>
                <w:sz w:val="22"/>
                <w:szCs w:val="22"/>
                <w:lang w:val="en-GB" w:eastAsia="en-CA"/>
                <w14:ligatures w14:val="none"/>
              </w:rPr>
              <w:t>Nuclear Magnetic Resonance, Electrical Conductivity/Resistivity, Gamma, Spontaneous Potential, spinner/temperature (after completion), imaging</w:t>
            </w:r>
          </w:p>
        </w:tc>
      </w:tr>
      <w:tr w:rsidR="00F1131D" w:rsidRPr="00465A14" w14:paraId="5D2D3B35" w14:textId="77777777" w:rsidTr="00B210AB">
        <w:trPr>
          <w:jc w:val="center"/>
        </w:trPr>
        <w:tc>
          <w:tcPr>
            <w:tcW w:w="1621" w:type="dxa"/>
          </w:tcPr>
          <w:p w14:paraId="4EBF330D" w14:textId="77777777" w:rsidR="00F1131D" w:rsidRPr="00B210AB" w:rsidRDefault="00F1131D"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Hydraulic testing</w:t>
            </w:r>
          </w:p>
        </w:tc>
        <w:tc>
          <w:tcPr>
            <w:tcW w:w="3973" w:type="dxa"/>
          </w:tcPr>
          <w:p w14:paraId="181663D3" w14:textId="77777777"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Flow tests (swab and/or pumping), standard production/injection pressure transient analysis (drill stem tests, tests during completions, interference testing, pressure falloff/build up testing)</w:t>
            </w:r>
          </w:p>
        </w:tc>
        <w:tc>
          <w:tcPr>
            <w:tcW w:w="4324" w:type="dxa"/>
          </w:tcPr>
          <w:p w14:paraId="2E0050EC" w14:textId="2E9DB95D" w:rsidR="00F1131D" w:rsidRPr="00B210AB" w:rsidRDefault="00F1131D" w:rsidP="0059084A">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B210AB">
              <w:rPr>
                <w:rFonts w:ascii="Times New Roman" w:eastAsia="Times New Roman" w:hAnsi="Times New Roman" w:cs="Times New Roman"/>
                <w:kern w:val="0"/>
                <w:sz w:val="22"/>
                <w:szCs w:val="22"/>
                <w:lang w:val="en-GB" w:eastAsia="en-CA"/>
                <w14:ligatures w14:val="none"/>
              </w:rPr>
              <w:t>Flow</w:t>
            </w:r>
            <w:r w:rsidR="0074094B" w:rsidRPr="00B210AB">
              <w:rPr>
                <w:rFonts w:ascii="Times New Roman" w:eastAsia="Times New Roman" w:hAnsi="Times New Roman" w:cs="Times New Roman"/>
                <w:kern w:val="0"/>
                <w:sz w:val="22"/>
                <w:szCs w:val="22"/>
                <w:lang w:val="en-GB" w:eastAsia="en-CA"/>
                <w14:ligatures w14:val="none"/>
              </w:rPr>
              <w:t xml:space="preserve"> </w:t>
            </w:r>
            <w:r w:rsidRPr="00B210AB">
              <w:rPr>
                <w:rFonts w:ascii="Times New Roman" w:eastAsia="Times New Roman" w:hAnsi="Times New Roman" w:cs="Times New Roman"/>
                <w:kern w:val="0"/>
                <w:sz w:val="22"/>
                <w:szCs w:val="22"/>
                <w:lang w:val="en-GB" w:eastAsia="en-CA"/>
                <w14:ligatures w14:val="none"/>
              </w:rPr>
              <w:t>tests (swab and/or pumping), calorimetry, discharge enthalpy, standard production/injection pressure transient analysis (drill stem tests, tests during completions, interference testing, pressure falloff/build up testing)</w:t>
            </w:r>
          </w:p>
        </w:tc>
      </w:tr>
    </w:tbl>
    <w:p w14:paraId="6A2F2F68" w14:textId="460A2FE6" w:rsidR="00533EC1" w:rsidRDefault="00F1131D" w:rsidP="00B210AB">
      <w:pPr>
        <w:pStyle w:val="Caption"/>
        <w:keepNext/>
      </w:pPr>
      <w:r w:rsidRPr="00465A14">
        <w:lastRenderedPageBreak/>
        <w:t xml:space="preserve">Table </w:t>
      </w:r>
      <w:r>
        <w:fldChar w:fldCharType="begin"/>
      </w:r>
      <w:r>
        <w:instrText xml:space="preserve"> SEQ Table \* ARABIC </w:instrText>
      </w:r>
      <w:r>
        <w:fldChar w:fldCharType="separate"/>
      </w:r>
      <w:r w:rsidRPr="008A73D2">
        <w:t>2</w:t>
      </w:r>
      <w:r>
        <w:fldChar w:fldCharType="end"/>
      </w:r>
      <w:r w:rsidRPr="00465A14">
        <w:t>: Examples of primary exploration tools for sedimentary basin and geothermal</w:t>
      </w:r>
    </w:p>
    <w:p w14:paraId="1FBD5931" w14:textId="5263A6EB" w:rsidR="007B09AD" w:rsidRDefault="007B09AD" w:rsidP="007B09AD">
      <w:pPr>
        <w:pStyle w:val="Heading2"/>
        <w:ind w:left="360" w:firstLine="0"/>
        <w:jc w:val="both"/>
        <w:rPr>
          <w:color w:val="365F91" w:themeColor="accent1" w:themeShade="BF"/>
          <w:lang w:val="en-US"/>
        </w:rPr>
      </w:pPr>
      <w:bookmarkStart w:id="16" w:name="_Toc212629261"/>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sidR="002B5B4C">
        <w:rPr>
          <w:rFonts w:ascii="Times New Roman" w:hAnsi="Times New Roman" w:cs="Times New Roman"/>
          <w:color w:val="365F91" w:themeColor="accent1" w:themeShade="BF"/>
        </w:rPr>
        <w:t>6</w:t>
      </w:r>
      <w:r w:rsidRPr="00C65688">
        <w:rPr>
          <w:rFonts w:ascii="Times New Roman" w:hAnsi="Times New Roman" w:cs="Times New Roman"/>
          <w:color w:val="365F91" w:themeColor="accent1" w:themeShade="BF"/>
        </w:rPr>
        <w:t xml:space="preserve">.   </w:t>
      </w:r>
      <w:r w:rsidR="002B5B4C">
        <w:rPr>
          <w:color w:val="365F91" w:themeColor="accent1" w:themeShade="BF"/>
          <w:lang w:val="en-US"/>
        </w:rPr>
        <w:t>Field Testing</w:t>
      </w:r>
      <w:bookmarkEnd w:id="16"/>
    </w:p>
    <w:p w14:paraId="3CBF2B0E" w14:textId="2A2289B6" w:rsidR="002B5B4C" w:rsidRDefault="002B5B4C" w:rsidP="00F24DA0">
      <w:pPr>
        <w:ind w:left="1077"/>
        <w:jc w:val="both"/>
      </w:pPr>
      <w:r w:rsidRPr="00465A14">
        <w:t xml:space="preserve">In estimating mineral resources, it is critical to have rigorous field exploration, drilling, completion and testing regimen established, including </w:t>
      </w:r>
      <w:r>
        <w:t>QA/QC</w:t>
      </w:r>
      <w:r w:rsidRPr="00465A14">
        <w:t xml:space="preserve">. The Practitioner should set out the operational design, execution and testing objectives, along with a matrix of factors involved in each aspect of the field operations and testing regimen and establish controls and procedures that will lead to the highest quality outcome. </w:t>
      </w:r>
    </w:p>
    <w:p w14:paraId="3579A104" w14:textId="77777777" w:rsidR="00CE7E7B" w:rsidRPr="00CE7E7B" w:rsidRDefault="00CE7E7B" w:rsidP="00CE7E7B">
      <w:pPr>
        <w:ind w:left="1077"/>
      </w:pPr>
    </w:p>
    <w:p w14:paraId="773E4BB8" w14:textId="6AD9B218" w:rsidR="005868CA" w:rsidRDefault="005868CA" w:rsidP="005868CA">
      <w:pPr>
        <w:pStyle w:val="Heading2"/>
        <w:ind w:left="360" w:firstLine="0"/>
        <w:jc w:val="both"/>
        <w:rPr>
          <w:color w:val="365F91" w:themeColor="accent1" w:themeShade="BF"/>
          <w:lang w:val="en-US"/>
        </w:rPr>
      </w:pPr>
      <w:bookmarkStart w:id="17" w:name="_Toc212629262"/>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7</w:t>
      </w:r>
      <w:r w:rsidRPr="00C65688">
        <w:rPr>
          <w:rFonts w:ascii="Times New Roman" w:hAnsi="Times New Roman" w:cs="Times New Roman"/>
          <w:color w:val="365F91" w:themeColor="accent1" w:themeShade="BF"/>
        </w:rPr>
        <w:t xml:space="preserve">.   </w:t>
      </w:r>
      <w:r w:rsidR="00966C69">
        <w:rPr>
          <w:color w:val="365F91" w:themeColor="accent1" w:themeShade="BF"/>
          <w:lang w:val="en-US"/>
        </w:rPr>
        <w:t>Laboratory Testing</w:t>
      </w:r>
      <w:bookmarkEnd w:id="17"/>
    </w:p>
    <w:p w14:paraId="7CFA3877" w14:textId="30D70A2D" w:rsidR="00CE7E7B" w:rsidRDefault="00CE7E7B" w:rsidP="00F24DA0">
      <w:pPr>
        <w:ind w:left="1077"/>
        <w:jc w:val="both"/>
      </w:pPr>
      <w:r w:rsidRPr="00465A14">
        <w:t>The Practitioner must be familiar with methods for the collection and preservation of brine and mixed brine plus steam/gas samples. Brines that have potentially economic amounts of lithium typically have very high total dissolved solids, and the Practitioner should ensure that the analytical laboratory has experience in this type of fluid. An understanding of changes (chemical and/or physical) between in-situ reservoir conditions and surface / wellhead sampling conditions should be incorporated into the interpretation of results.</w:t>
      </w:r>
    </w:p>
    <w:p w14:paraId="20E6793C" w14:textId="77777777" w:rsidR="0009727B" w:rsidRPr="00465A14" w:rsidRDefault="0009727B" w:rsidP="00CE7E7B">
      <w:pPr>
        <w:ind w:left="1077"/>
      </w:pPr>
    </w:p>
    <w:p w14:paraId="545C80C3" w14:textId="3E394745" w:rsidR="0009727B" w:rsidRDefault="0009727B" w:rsidP="0009727B">
      <w:pPr>
        <w:pStyle w:val="Heading2"/>
        <w:ind w:left="360" w:firstLine="0"/>
        <w:jc w:val="both"/>
        <w:rPr>
          <w:color w:val="365F91" w:themeColor="accent1" w:themeShade="BF"/>
          <w:lang w:val="en-US"/>
        </w:rPr>
      </w:pPr>
      <w:bookmarkStart w:id="18" w:name="_Toc212629263"/>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8</w:t>
      </w:r>
      <w:r w:rsidRPr="00C65688">
        <w:rPr>
          <w:rFonts w:ascii="Times New Roman" w:hAnsi="Times New Roman" w:cs="Times New Roman"/>
          <w:color w:val="365F91" w:themeColor="accent1" w:themeShade="BF"/>
        </w:rPr>
        <w:t xml:space="preserve">.   </w:t>
      </w:r>
      <w:r w:rsidR="006A6EE2" w:rsidRPr="00D33C8B">
        <w:rPr>
          <w:color w:val="365F91" w:themeColor="accent1" w:themeShade="BF"/>
          <w:lang w:val="en-US"/>
        </w:rPr>
        <w:t>Quality Assurance and Quality Control</w:t>
      </w:r>
      <w:bookmarkEnd w:id="18"/>
    </w:p>
    <w:p w14:paraId="70AA66AA" w14:textId="56F599F6" w:rsidR="00956522" w:rsidRDefault="00956522" w:rsidP="0074094B">
      <w:pPr>
        <w:ind w:left="1077"/>
        <w:jc w:val="both"/>
      </w:pPr>
      <w:r w:rsidRPr="00465A14">
        <w:t>QA/QC information should be collected and evaluated for all data used for BH-Li MRMR estimates. Use of standards, duplicates, and</w:t>
      </w:r>
      <w:r>
        <w:t xml:space="preserve"> field duplicate</w:t>
      </w:r>
      <w:r w:rsidRPr="00465A14">
        <w:t xml:space="preserve"> replicate samples are recommended QA/QC practices.</w:t>
      </w:r>
    </w:p>
    <w:p w14:paraId="1ED8CAC1" w14:textId="77777777" w:rsidR="0074094B" w:rsidRPr="0074094B" w:rsidRDefault="0074094B" w:rsidP="0074094B">
      <w:pPr>
        <w:ind w:left="1077"/>
        <w:jc w:val="both"/>
      </w:pPr>
    </w:p>
    <w:p w14:paraId="21B58AF2" w14:textId="01D8E755" w:rsidR="00956522" w:rsidRDefault="00956522" w:rsidP="00956522">
      <w:pPr>
        <w:pStyle w:val="Heading2"/>
        <w:ind w:left="360" w:firstLine="0"/>
        <w:jc w:val="both"/>
        <w:rPr>
          <w:color w:val="365F91" w:themeColor="accent1" w:themeShade="BF"/>
          <w:lang w:val="en-US"/>
        </w:rPr>
      </w:pPr>
      <w:bookmarkStart w:id="19" w:name="_Toc212629264"/>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sidR="00692421">
        <w:rPr>
          <w:rFonts w:ascii="Times New Roman" w:hAnsi="Times New Roman" w:cs="Times New Roman"/>
          <w:color w:val="365F91" w:themeColor="accent1" w:themeShade="BF"/>
        </w:rPr>
        <w:t>9</w:t>
      </w:r>
      <w:r w:rsidRPr="00C65688">
        <w:rPr>
          <w:rFonts w:ascii="Times New Roman" w:hAnsi="Times New Roman" w:cs="Times New Roman"/>
          <w:color w:val="365F91" w:themeColor="accent1" w:themeShade="BF"/>
        </w:rPr>
        <w:t xml:space="preserve">.   </w:t>
      </w:r>
      <w:r>
        <w:rPr>
          <w:color w:val="365F91" w:themeColor="accent1" w:themeShade="BF"/>
          <w:lang w:val="en-US"/>
        </w:rPr>
        <w:t>Laboratory Testing</w:t>
      </w:r>
      <w:bookmarkEnd w:id="19"/>
    </w:p>
    <w:p w14:paraId="01480C2F" w14:textId="77777777" w:rsidR="00F24DA0" w:rsidRPr="00465A14" w:rsidRDefault="00F24DA0" w:rsidP="00F24DA0">
      <w:pPr>
        <w:ind w:left="1077"/>
        <w:jc w:val="both"/>
      </w:pPr>
      <w:r w:rsidRPr="00465A14">
        <w:t>Using the resource parameters and analysis described in Section 4, geological and mineralization interpretations can be made by the Practitioner based on their understanding of the depositional geologic environment and post-depositional events.  The interpretation should include the following, which form the fundamental basis of MRMR estimates:</w:t>
      </w:r>
    </w:p>
    <w:p w14:paraId="4408244A" w14:textId="77777777" w:rsidR="00F24DA0" w:rsidRPr="00465A14" w:rsidRDefault="00F24DA0" w:rsidP="00F24DA0">
      <w:pPr>
        <w:pStyle w:val="ListParagraph"/>
        <w:widowControl/>
        <w:numPr>
          <w:ilvl w:val="0"/>
          <w:numId w:val="26"/>
        </w:numPr>
        <w:spacing w:before="0"/>
        <w:ind w:left="1797" w:hanging="357"/>
        <w:contextualSpacing/>
        <w:jc w:val="both"/>
      </w:pPr>
      <w:r w:rsidRPr="00465A14">
        <w:t>the consideration and use of reasonable assumptions on the limits and geometry of the reservoir areas (structure, stratigraphy</w:t>
      </w:r>
      <w:proofErr w:type="gramStart"/>
      <w:r w:rsidRPr="00465A14">
        <w:t>);</w:t>
      </w:r>
      <w:proofErr w:type="gramEnd"/>
      <w:r w:rsidRPr="00465A14">
        <w:t xml:space="preserve"> </w:t>
      </w:r>
    </w:p>
    <w:p w14:paraId="07651416" w14:textId="77777777" w:rsidR="00F24DA0" w:rsidRPr="00465A14" w:rsidRDefault="00F24DA0" w:rsidP="00F24DA0">
      <w:pPr>
        <w:pStyle w:val="ListParagraph"/>
        <w:widowControl/>
        <w:numPr>
          <w:ilvl w:val="0"/>
          <w:numId w:val="26"/>
        </w:numPr>
        <w:spacing w:before="0"/>
        <w:ind w:left="1797" w:hanging="357"/>
        <w:contextualSpacing/>
        <w:jc w:val="both"/>
      </w:pPr>
      <w:r w:rsidRPr="00465A14">
        <w:t xml:space="preserve">the lithology, brine chemistry, rock and reservoir properties (porosity and permeability), and their spatial variations; and </w:t>
      </w:r>
    </w:p>
    <w:p w14:paraId="064894EF" w14:textId="460F88B1" w:rsidR="00956522" w:rsidRDefault="00F24DA0" w:rsidP="0074094B">
      <w:pPr>
        <w:pStyle w:val="ListParagraph"/>
        <w:widowControl/>
        <w:numPr>
          <w:ilvl w:val="0"/>
          <w:numId w:val="26"/>
        </w:numPr>
        <w:spacing w:before="0"/>
        <w:ind w:left="1797" w:hanging="357"/>
        <w:contextualSpacing/>
        <w:jc w:val="both"/>
      </w:pPr>
      <w:r w:rsidRPr="00465A14">
        <w:t>the fluid dynamics and transport mechanisms.</w:t>
      </w:r>
    </w:p>
    <w:p w14:paraId="44A3E2F2" w14:textId="77777777" w:rsidR="0074094B" w:rsidRPr="0074094B" w:rsidRDefault="0074094B" w:rsidP="0074094B">
      <w:pPr>
        <w:pStyle w:val="ListParagraph"/>
        <w:widowControl/>
        <w:spacing w:before="0"/>
        <w:ind w:left="1797" w:firstLine="0"/>
        <w:contextualSpacing/>
        <w:jc w:val="both"/>
      </w:pPr>
    </w:p>
    <w:p w14:paraId="633622D9" w14:textId="1FF74267" w:rsidR="00692421" w:rsidRDefault="00692421" w:rsidP="00692421">
      <w:pPr>
        <w:pStyle w:val="Heading2"/>
        <w:ind w:left="360" w:firstLine="0"/>
        <w:jc w:val="both"/>
        <w:rPr>
          <w:color w:val="365F91" w:themeColor="accent1" w:themeShade="BF"/>
          <w:lang w:val="en-US"/>
        </w:rPr>
      </w:pPr>
      <w:bookmarkStart w:id="20" w:name="_Toc212629265"/>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10</w:t>
      </w:r>
      <w:r w:rsidRPr="00C65688">
        <w:rPr>
          <w:rFonts w:ascii="Times New Roman" w:hAnsi="Times New Roman" w:cs="Times New Roman"/>
          <w:color w:val="365F91" w:themeColor="accent1" w:themeShade="BF"/>
        </w:rPr>
        <w:t xml:space="preserve">. </w:t>
      </w:r>
      <w:r w:rsidR="00481538">
        <w:rPr>
          <w:color w:val="365F91" w:themeColor="accent1" w:themeShade="BF"/>
          <w:lang w:val="en-US"/>
        </w:rPr>
        <w:t>Primary Data Visualization</w:t>
      </w:r>
      <w:bookmarkEnd w:id="20"/>
    </w:p>
    <w:p w14:paraId="6A44DC38" w14:textId="77777777" w:rsidR="002108EB" w:rsidRDefault="002108EB" w:rsidP="002108EB">
      <w:pPr>
        <w:ind w:left="1077"/>
        <w:jc w:val="both"/>
      </w:pPr>
      <w:r w:rsidRPr="00465A14">
        <w:t xml:space="preserve">All primary data such as sample locations, sample depth, lithium concentration, porosity, permeability, flow unit thickness and areal extent, should be recorded in their entirety, in original form. If the Practitioner deems the primary data quality to be inadequate for use in MRMR estimations, the Practitioners must clearly explain their exclusion. If primary data have been modified or intentionally omitted from the preparation of MRMR estimates, those data should be identified with a note </w:t>
      </w:r>
      <w:r>
        <w:t>explaining</w:t>
      </w:r>
      <w:r w:rsidRPr="00465A14">
        <w:t xml:space="preserve"> the modification or exclusion.</w:t>
      </w:r>
    </w:p>
    <w:p w14:paraId="11696AC6" w14:textId="77777777" w:rsidR="00A813DB" w:rsidRPr="00465A14" w:rsidRDefault="00A813DB" w:rsidP="002108EB">
      <w:pPr>
        <w:ind w:left="1077"/>
        <w:jc w:val="both"/>
      </w:pPr>
    </w:p>
    <w:p w14:paraId="510E67DC" w14:textId="4DDB68AB" w:rsidR="00B32D5D" w:rsidRDefault="00B32D5D" w:rsidP="00B32D5D">
      <w:pPr>
        <w:pStyle w:val="Heading2"/>
        <w:ind w:left="360" w:firstLine="0"/>
        <w:jc w:val="both"/>
        <w:rPr>
          <w:color w:val="365F91" w:themeColor="accent1" w:themeShade="BF"/>
          <w:lang w:val="en-US"/>
        </w:rPr>
      </w:pPr>
      <w:bookmarkStart w:id="21" w:name="_Toc212629266"/>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11</w:t>
      </w:r>
      <w:r w:rsidRPr="00C65688">
        <w:rPr>
          <w:rFonts w:ascii="Times New Roman" w:hAnsi="Times New Roman" w:cs="Times New Roman"/>
          <w:color w:val="365F91" w:themeColor="accent1" w:themeShade="BF"/>
        </w:rPr>
        <w:t xml:space="preserve">. </w:t>
      </w:r>
      <w:r w:rsidR="00A813DB">
        <w:rPr>
          <w:color w:val="365F91" w:themeColor="accent1" w:themeShade="BF"/>
          <w:lang w:val="en-US"/>
        </w:rPr>
        <w:t>Conceptual Geological Model</w:t>
      </w:r>
      <w:bookmarkEnd w:id="21"/>
    </w:p>
    <w:p w14:paraId="754B42DB" w14:textId="77777777" w:rsidR="00A813DB" w:rsidRPr="00465A14" w:rsidRDefault="00A813DB" w:rsidP="00A813DB">
      <w:pPr>
        <w:ind w:left="1077"/>
        <w:jc w:val="both"/>
      </w:pPr>
      <w:r w:rsidRPr="00465A14">
        <w:t xml:space="preserve">The conceptual geological model should include consideration of the geological setting, depositional environment, flow regimes, brine chemistry, and production analogues, as appropriate.  A conceptual operating scenario can then be developed, considering operational-related items as </w:t>
      </w:r>
      <w:r w:rsidRPr="00465A14">
        <w:lastRenderedPageBreak/>
        <w:t>processing methods, early in MRMR estimation process. This initial view is a forward-looking item that is formed by Practitioners based on their judgement, experience, and consultations with their colleagues. An understanding of the reservoir location, mineral processing methods, and potential product quality is necessary to ensure that the resulting MRMR estimates are appropriate for the known/assumed physical and operational limits.</w:t>
      </w:r>
    </w:p>
    <w:p w14:paraId="6350CA7C" w14:textId="77777777" w:rsidR="00A813DB" w:rsidRPr="00465A14" w:rsidRDefault="00A813DB" w:rsidP="00A813DB">
      <w:pPr>
        <w:ind w:left="1077"/>
        <w:jc w:val="both"/>
      </w:pPr>
    </w:p>
    <w:p w14:paraId="0473D1D0" w14:textId="7C624DEB" w:rsidR="002108EB" w:rsidRDefault="00A813DB" w:rsidP="0074094B">
      <w:pPr>
        <w:ind w:left="1077"/>
        <w:jc w:val="both"/>
      </w:pPr>
      <w:r w:rsidRPr="00465A14">
        <w:t>Quantifying uncertainty in the conceptual geological model is recommended, such as leveraging geostatistical analysis of key parameters (thickness, porosity, permeability, grade).</w:t>
      </w:r>
    </w:p>
    <w:p w14:paraId="53EC3CBC" w14:textId="77777777" w:rsidR="0074094B" w:rsidRPr="0074094B" w:rsidRDefault="0074094B" w:rsidP="0074094B">
      <w:pPr>
        <w:ind w:left="1077"/>
        <w:jc w:val="both"/>
      </w:pPr>
    </w:p>
    <w:p w14:paraId="50930478" w14:textId="35DEC87D" w:rsidR="00FC24EF" w:rsidRDefault="00FC24EF" w:rsidP="00FC24EF">
      <w:pPr>
        <w:pStyle w:val="Heading2"/>
        <w:ind w:left="360" w:firstLine="0"/>
        <w:jc w:val="both"/>
        <w:rPr>
          <w:color w:val="365F91" w:themeColor="accent1" w:themeShade="BF"/>
          <w:lang w:val="en-US"/>
        </w:rPr>
      </w:pPr>
      <w:bookmarkStart w:id="22" w:name="_Toc212629267"/>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12</w:t>
      </w:r>
      <w:r w:rsidRPr="00C65688">
        <w:rPr>
          <w:rFonts w:ascii="Times New Roman" w:hAnsi="Times New Roman" w:cs="Times New Roman"/>
          <w:color w:val="365F91" w:themeColor="accent1" w:themeShade="BF"/>
        </w:rPr>
        <w:t xml:space="preserve">. </w:t>
      </w:r>
      <w:r w:rsidR="007005CA" w:rsidRPr="006F5FD2">
        <w:rPr>
          <w:color w:val="365F91" w:themeColor="accent1" w:themeShade="BF"/>
          <w:lang w:val="en-US"/>
        </w:rPr>
        <w:t>Geological Interpretation and Modelling</w:t>
      </w:r>
      <w:bookmarkEnd w:id="22"/>
    </w:p>
    <w:p w14:paraId="6FE3C1DD" w14:textId="4CF25716" w:rsidR="00684FCF" w:rsidRDefault="00AA0C1B" w:rsidP="0074094B">
      <w:pPr>
        <w:ind w:left="1077"/>
        <w:jc w:val="both"/>
      </w:pPr>
      <w:r w:rsidRPr="00465A14">
        <w:t>Practitioners must understand the relationship between the geological processes that resulted in the grade distribution, geometry, depositional and diagenetic history. Direct personal knowledge of the deposit is key, gained through mapping, core logging, drill cuttings description, petrophysical log interpretation, and brine sampling programs. Preparation of digital three-dimensional models incorporating lithological, structural, stratigraphic and hydrogeologic interpretations are recommended for Practitioners to understand the spatial location, distribution, and continuity of the BH-Li deposit.</w:t>
      </w:r>
    </w:p>
    <w:p w14:paraId="11EA09FD" w14:textId="77777777" w:rsidR="0074094B" w:rsidRPr="0074094B" w:rsidRDefault="0074094B" w:rsidP="0074094B">
      <w:pPr>
        <w:ind w:left="1077"/>
        <w:jc w:val="both"/>
      </w:pPr>
    </w:p>
    <w:p w14:paraId="06BB6FFD" w14:textId="10486BB4" w:rsidR="00684FCF" w:rsidRDefault="00684FCF" w:rsidP="00684FCF">
      <w:pPr>
        <w:pStyle w:val="Heading2"/>
        <w:ind w:left="360" w:firstLine="0"/>
        <w:jc w:val="both"/>
        <w:rPr>
          <w:color w:val="365F91" w:themeColor="accent1" w:themeShade="BF"/>
          <w:lang w:val="en-US"/>
        </w:rPr>
      </w:pPr>
      <w:bookmarkStart w:id="23" w:name="_Toc212629268"/>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13</w:t>
      </w:r>
      <w:r w:rsidRPr="00C65688">
        <w:rPr>
          <w:rFonts w:ascii="Times New Roman" w:hAnsi="Times New Roman" w:cs="Times New Roman"/>
          <w:color w:val="365F91" w:themeColor="accent1" w:themeShade="BF"/>
        </w:rPr>
        <w:t xml:space="preserve">. </w:t>
      </w:r>
      <w:r>
        <w:rPr>
          <w:color w:val="365F91" w:themeColor="accent1" w:themeShade="BF"/>
          <w:lang w:val="en-US"/>
        </w:rPr>
        <w:t>Mineralization</w:t>
      </w:r>
      <w:r w:rsidRPr="006F5FD2">
        <w:rPr>
          <w:color w:val="365F91" w:themeColor="accent1" w:themeShade="BF"/>
          <w:lang w:val="en-US"/>
        </w:rPr>
        <w:t xml:space="preserve"> Interpretation and Modelling</w:t>
      </w:r>
      <w:bookmarkEnd w:id="23"/>
    </w:p>
    <w:p w14:paraId="418ED948" w14:textId="77777777" w:rsidR="00377588" w:rsidRPr="00465A14" w:rsidRDefault="00377588" w:rsidP="00377588">
      <w:pPr>
        <w:ind w:left="1077"/>
        <w:jc w:val="both"/>
      </w:pPr>
      <w:r w:rsidRPr="00465A14">
        <w:t xml:space="preserve">Practitioners recognize that BH-Li deposits </w:t>
      </w:r>
    </w:p>
    <w:p w14:paraId="20327F4B" w14:textId="77777777" w:rsidR="00377588" w:rsidRPr="00465A14" w:rsidRDefault="00377588" w:rsidP="00377588">
      <w:pPr>
        <w:pStyle w:val="ListParagraph"/>
        <w:widowControl/>
        <w:numPr>
          <w:ilvl w:val="0"/>
          <w:numId w:val="29"/>
        </w:numPr>
        <w:ind w:left="1797" w:hanging="357"/>
        <w:contextualSpacing/>
        <w:jc w:val="both"/>
      </w:pPr>
      <w:r w:rsidRPr="00465A14">
        <w:t xml:space="preserve">can have variable concentrations of lithium within discrete </w:t>
      </w:r>
      <w:proofErr w:type="gramStart"/>
      <w:r w:rsidRPr="00465A14">
        <w:t>intervals;</w:t>
      </w:r>
      <w:proofErr w:type="gramEnd"/>
      <w:r w:rsidRPr="00465A14">
        <w:t xml:space="preserve"> </w:t>
      </w:r>
    </w:p>
    <w:p w14:paraId="4C4A1572" w14:textId="77777777" w:rsidR="00377588" w:rsidRPr="00465A14" w:rsidRDefault="00377588" w:rsidP="00377588">
      <w:pPr>
        <w:pStyle w:val="ListParagraph"/>
        <w:widowControl/>
        <w:numPr>
          <w:ilvl w:val="0"/>
          <w:numId w:val="29"/>
        </w:numPr>
        <w:ind w:left="1797" w:hanging="357"/>
        <w:contextualSpacing/>
        <w:jc w:val="both"/>
      </w:pPr>
      <w:r w:rsidRPr="00465A14">
        <w:t xml:space="preserve">can consist of multiple enrichment events and </w:t>
      </w:r>
      <w:proofErr w:type="gramStart"/>
      <w:r w:rsidRPr="00465A14">
        <w:t>sources;</w:t>
      </w:r>
      <w:proofErr w:type="gramEnd"/>
      <w:r w:rsidRPr="00465A14">
        <w:t xml:space="preserve"> </w:t>
      </w:r>
    </w:p>
    <w:p w14:paraId="51258EE7" w14:textId="77777777" w:rsidR="00377588" w:rsidRPr="00465A14" w:rsidRDefault="00377588" w:rsidP="00377588">
      <w:pPr>
        <w:pStyle w:val="ListParagraph"/>
        <w:widowControl/>
        <w:numPr>
          <w:ilvl w:val="0"/>
          <w:numId w:val="29"/>
        </w:numPr>
        <w:ind w:left="1797" w:hanging="357"/>
        <w:contextualSpacing/>
        <w:jc w:val="both"/>
      </w:pPr>
      <w:r w:rsidRPr="00465A14">
        <w:t xml:space="preserve">can be controlled and/or influenced by different lithologies or structures; and </w:t>
      </w:r>
    </w:p>
    <w:p w14:paraId="6C5E5AE0" w14:textId="359DFA35" w:rsidR="00377588" w:rsidRPr="00465A14" w:rsidRDefault="00377588" w:rsidP="005A006A">
      <w:pPr>
        <w:pStyle w:val="ListParagraph"/>
        <w:widowControl/>
        <w:numPr>
          <w:ilvl w:val="0"/>
          <w:numId w:val="29"/>
        </w:numPr>
        <w:ind w:left="1797" w:hanging="357"/>
        <w:contextualSpacing/>
        <w:jc w:val="both"/>
      </w:pPr>
      <w:r w:rsidRPr="00465A14">
        <w:t xml:space="preserve">can be overprinted by different diagenetic and hydrothermal alteration events, all within a single deposit. </w:t>
      </w:r>
    </w:p>
    <w:p w14:paraId="7AD13137" w14:textId="77777777" w:rsidR="00377588" w:rsidRPr="00465A14" w:rsidRDefault="00377588" w:rsidP="00377588">
      <w:pPr>
        <w:ind w:left="1077"/>
        <w:jc w:val="both"/>
      </w:pPr>
    </w:p>
    <w:p w14:paraId="465A1646" w14:textId="77777777" w:rsidR="00377588" w:rsidRDefault="00377588" w:rsidP="00377588">
      <w:pPr>
        <w:ind w:left="1077"/>
        <w:jc w:val="both"/>
      </w:pPr>
      <w:r w:rsidRPr="00465A14">
        <w:t>Mineralization modelling techniques must suit the deposit, and the Practitioners should consider potential controlling factors such as:</w:t>
      </w:r>
    </w:p>
    <w:p w14:paraId="5A1F22BF" w14:textId="77777777" w:rsidR="000412E5" w:rsidRPr="00465A14" w:rsidRDefault="000412E5" w:rsidP="00377588">
      <w:pPr>
        <w:ind w:left="1077"/>
        <w:jc w:val="both"/>
      </w:pPr>
    </w:p>
    <w:p w14:paraId="091548AF" w14:textId="77777777" w:rsidR="00377588" w:rsidRPr="00465A14" w:rsidRDefault="00377588" w:rsidP="005A006A">
      <w:pPr>
        <w:pStyle w:val="ListParagraph"/>
        <w:widowControl/>
        <w:numPr>
          <w:ilvl w:val="0"/>
          <w:numId w:val="27"/>
        </w:numPr>
        <w:spacing w:before="0"/>
        <w:ind w:left="1797" w:hanging="357"/>
        <w:contextualSpacing/>
        <w:jc w:val="both"/>
      </w:pPr>
      <w:r w:rsidRPr="00465A14">
        <w:t>potential flow rate (influenced by porosity and permeability) and any potential for chemical breakthrough (dilution of primary reservoir fluid by reinjected fluids) or scaling (precipitation) limits on flow rates</w:t>
      </w:r>
    </w:p>
    <w:p w14:paraId="10921F78" w14:textId="77777777" w:rsidR="00377588" w:rsidRPr="00465A14" w:rsidRDefault="00377588" w:rsidP="005A006A">
      <w:pPr>
        <w:pStyle w:val="ListParagraph"/>
        <w:widowControl/>
        <w:numPr>
          <w:ilvl w:val="0"/>
          <w:numId w:val="27"/>
        </w:numPr>
        <w:spacing w:before="0"/>
        <w:ind w:left="1797" w:hanging="357"/>
        <w:contextualSpacing/>
        <w:jc w:val="both"/>
      </w:pPr>
      <w:r w:rsidRPr="00465A14">
        <w:t>anticipated economic limits of the extraction (such as a grade, grade equivalent or a value parameter) and processing scenario under consideration</w:t>
      </w:r>
    </w:p>
    <w:p w14:paraId="50CDF36B" w14:textId="77777777" w:rsidR="00377588" w:rsidRPr="00465A14" w:rsidRDefault="00377588" w:rsidP="005A006A">
      <w:pPr>
        <w:pStyle w:val="ListParagraph"/>
        <w:widowControl/>
        <w:numPr>
          <w:ilvl w:val="0"/>
          <w:numId w:val="27"/>
        </w:numPr>
        <w:spacing w:before="0"/>
        <w:ind w:left="1797" w:hanging="357"/>
        <w:contextualSpacing/>
        <w:jc w:val="both"/>
      </w:pPr>
      <w:r w:rsidRPr="00465A14">
        <w:t>spatial distribution and continuity of the BH-Li deposit</w:t>
      </w:r>
    </w:p>
    <w:p w14:paraId="08002BE3" w14:textId="77777777" w:rsidR="00377588" w:rsidRPr="00465A14" w:rsidRDefault="00377588" w:rsidP="005A006A">
      <w:pPr>
        <w:pStyle w:val="ListParagraph"/>
        <w:widowControl/>
        <w:numPr>
          <w:ilvl w:val="0"/>
          <w:numId w:val="27"/>
        </w:numPr>
        <w:spacing w:before="0"/>
        <w:ind w:left="1797" w:hanging="357"/>
        <w:contextualSpacing/>
        <w:jc w:val="both"/>
      </w:pPr>
      <w:r w:rsidRPr="00465A14">
        <w:t>continuity and distribution of the lithium grade</w:t>
      </w:r>
    </w:p>
    <w:p w14:paraId="09A0590B" w14:textId="77777777" w:rsidR="00377588" w:rsidRPr="00465A14" w:rsidRDefault="00377588" w:rsidP="005A006A">
      <w:pPr>
        <w:pStyle w:val="ListParagraph"/>
        <w:widowControl/>
        <w:numPr>
          <w:ilvl w:val="0"/>
          <w:numId w:val="27"/>
        </w:numPr>
        <w:spacing w:before="0"/>
        <w:ind w:left="1797" w:hanging="357"/>
        <w:contextualSpacing/>
        <w:jc w:val="both"/>
      </w:pPr>
      <w:r w:rsidRPr="00465A14">
        <w:t>spatial density and distribution of the sample information</w:t>
      </w:r>
    </w:p>
    <w:p w14:paraId="6784A999" w14:textId="77777777" w:rsidR="00377588" w:rsidRPr="00465A14" w:rsidRDefault="00377588" w:rsidP="005A006A">
      <w:pPr>
        <w:pStyle w:val="ListParagraph"/>
        <w:widowControl/>
        <w:numPr>
          <w:ilvl w:val="0"/>
          <w:numId w:val="27"/>
        </w:numPr>
        <w:spacing w:before="0"/>
        <w:ind w:left="1797" w:hanging="357"/>
        <w:contextualSpacing/>
        <w:jc w:val="both"/>
      </w:pPr>
      <w:r w:rsidRPr="00465A14">
        <w:t>pertinent geological features such as lithology and structure</w:t>
      </w:r>
    </w:p>
    <w:p w14:paraId="676B5208" w14:textId="77777777" w:rsidR="00377588" w:rsidRPr="00465A14" w:rsidRDefault="00377588" w:rsidP="005A006A">
      <w:pPr>
        <w:pStyle w:val="ListParagraph"/>
        <w:widowControl/>
        <w:numPr>
          <w:ilvl w:val="0"/>
          <w:numId w:val="27"/>
        </w:numPr>
        <w:spacing w:before="0"/>
        <w:ind w:left="1797" w:hanging="357"/>
        <w:contextualSpacing/>
        <w:jc w:val="both"/>
      </w:pPr>
      <w:r w:rsidRPr="00465A14">
        <w:t xml:space="preserve">nature of the boundaries (e.g., sharp or gradational). </w:t>
      </w:r>
    </w:p>
    <w:p w14:paraId="1B36FBFD" w14:textId="77777777" w:rsidR="00377588" w:rsidRPr="00465A14" w:rsidRDefault="00377588" w:rsidP="00377588">
      <w:pPr>
        <w:ind w:left="1077"/>
        <w:jc w:val="both"/>
      </w:pPr>
    </w:p>
    <w:p w14:paraId="276DCEC9" w14:textId="77777777" w:rsidR="00377588" w:rsidRPr="00465A14" w:rsidRDefault="00377588" w:rsidP="00377588">
      <w:pPr>
        <w:ind w:left="1077"/>
        <w:jc w:val="both"/>
      </w:pPr>
      <w:r w:rsidRPr="00465A14">
        <w:t xml:space="preserve">Assumptions concerning the spatial continuity of the model should be reasonable and be supported by the direct geological evidence, as well as be consistent with analogous deposits where the deposit continuity has been demonstrated. Parameters used for the construction of static geological models should be fully documented. </w:t>
      </w:r>
    </w:p>
    <w:p w14:paraId="3AA2BF80" w14:textId="77777777" w:rsidR="00377588" w:rsidRPr="00465A14" w:rsidRDefault="00377588" w:rsidP="00377588">
      <w:pPr>
        <w:ind w:left="1077"/>
        <w:jc w:val="both"/>
      </w:pPr>
    </w:p>
    <w:p w14:paraId="018C8448" w14:textId="152B461D" w:rsidR="00684FCF" w:rsidRDefault="00377588" w:rsidP="002047FE">
      <w:pPr>
        <w:ind w:left="1077"/>
        <w:jc w:val="both"/>
      </w:pPr>
      <w:r w:rsidRPr="00465A14">
        <w:t xml:space="preserve">The use of a grade equivalent or a value parameter should be for the sole purpose of preparing the </w:t>
      </w:r>
      <w:r w:rsidRPr="00465A14">
        <w:lastRenderedPageBreak/>
        <w:t>outlines of potentially economic brine recovery. Subsequent grade estimations should be carried out for each interval separately.</w:t>
      </w:r>
    </w:p>
    <w:p w14:paraId="42F3BF2B" w14:textId="77777777" w:rsidR="002047FE" w:rsidRPr="002047FE" w:rsidRDefault="002047FE" w:rsidP="002047FE">
      <w:pPr>
        <w:ind w:left="1077"/>
        <w:jc w:val="both"/>
      </w:pPr>
    </w:p>
    <w:p w14:paraId="3D4C2DE2" w14:textId="68B47DBE" w:rsidR="000412E5" w:rsidRDefault="000412E5" w:rsidP="000412E5">
      <w:pPr>
        <w:pStyle w:val="Heading2"/>
        <w:ind w:left="360" w:firstLine="0"/>
        <w:jc w:val="both"/>
        <w:rPr>
          <w:color w:val="365F91" w:themeColor="accent1" w:themeShade="BF"/>
          <w:lang w:val="en-US"/>
        </w:rPr>
      </w:pPr>
      <w:bookmarkStart w:id="24" w:name="_Toc212629269"/>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1</w:t>
      </w:r>
      <w:r w:rsidR="007B1386">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 xml:space="preserve">. </w:t>
      </w:r>
      <w:r w:rsidR="007B1386">
        <w:rPr>
          <w:color w:val="365F91" w:themeColor="accent1" w:themeShade="BF"/>
          <w:lang w:val="en-US"/>
        </w:rPr>
        <w:t>Data Analysis</w:t>
      </w:r>
      <w:bookmarkEnd w:id="24"/>
    </w:p>
    <w:p w14:paraId="6F48C8BF" w14:textId="77777777" w:rsidR="007B1386" w:rsidRPr="00465A14" w:rsidRDefault="007B1386" w:rsidP="007B1386">
      <w:pPr>
        <w:ind w:left="1077"/>
        <w:jc w:val="both"/>
      </w:pPr>
      <w:r w:rsidRPr="00465A14">
        <w:t>The Practitioner should use a comprehensive approach to, and appropriate methods of, all data analysis to understand the statistical and spatial character of variables on which the estimate depends, to detect possible errors, and recognize any information that is useful for model validation.</w:t>
      </w:r>
    </w:p>
    <w:p w14:paraId="564A48B6" w14:textId="77777777" w:rsidR="007B1386" w:rsidRPr="00465A14" w:rsidRDefault="007B1386" w:rsidP="007B1386">
      <w:pPr>
        <w:ind w:left="1077"/>
        <w:jc w:val="both"/>
      </w:pPr>
    </w:p>
    <w:p w14:paraId="7AD45BBC" w14:textId="33F62818" w:rsidR="007B1386" w:rsidRPr="00465A14" w:rsidRDefault="007B1386" w:rsidP="007B1386">
      <w:pPr>
        <w:ind w:left="1077"/>
        <w:jc w:val="both"/>
      </w:pPr>
      <w:r w:rsidRPr="00465A14">
        <w:t>Data analysis includes interrelationships among variables of interest, recognition of systematic spatial variation of the variables (e.g.</w:t>
      </w:r>
      <w:r w:rsidR="00544301">
        <w:t>,</w:t>
      </w:r>
      <w:r w:rsidRPr="00465A14">
        <w:t xml:space="preserve"> grade, thickness, rock properties, etc.), definition of distinctive domains (flow units) that must be evaluated independently for the estimate, and identification and understanding of outliers. It is necessary to understand the nature and magnitude of the geological uncertainty and how it is being mode</w:t>
      </w:r>
      <w:r>
        <w:t>l</w:t>
      </w:r>
      <w:r w:rsidRPr="00465A14">
        <w:t>led within the reservoir/aquifer. Important assumptions and decisions resulting from data analysis should be documented.</w:t>
      </w:r>
    </w:p>
    <w:p w14:paraId="3FD03189" w14:textId="77777777" w:rsidR="007B1386" w:rsidRPr="00465A14" w:rsidRDefault="007B1386" w:rsidP="007B1386">
      <w:pPr>
        <w:ind w:left="1077"/>
        <w:jc w:val="both"/>
      </w:pPr>
    </w:p>
    <w:p w14:paraId="31092086" w14:textId="056CDFAA" w:rsidR="007B1386" w:rsidRPr="00465A14" w:rsidRDefault="007B1386" w:rsidP="007B1386">
      <w:pPr>
        <w:ind w:left="1077"/>
        <w:jc w:val="both"/>
      </w:pPr>
      <w:r w:rsidRPr="00465A14">
        <w:t>The Practitioner should examine whether un-sampled intervals, treatment of below detection limit and method over-limit values, evidence of multiple types of analytical methods, negative values, the presence of special characters (e.g.</w:t>
      </w:r>
      <w:r w:rsidR="00544301">
        <w:t>,</w:t>
      </w:r>
      <w:r w:rsidRPr="00465A14">
        <w:t xml:space="preserve"> a “&lt;” symbol), or other data artifacts and anomalies exist in the Database to assess their implications to resource estimation.</w:t>
      </w:r>
    </w:p>
    <w:p w14:paraId="463180A8" w14:textId="77777777" w:rsidR="007B1386" w:rsidRPr="00465A14" w:rsidRDefault="007B1386" w:rsidP="007B1386">
      <w:pPr>
        <w:ind w:left="1077"/>
        <w:jc w:val="both"/>
      </w:pPr>
    </w:p>
    <w:p w14:paraId="74218DE9" w14:textId="4E8247FC" w:rsidR="007B1386" w:rsidRPr="00465A14" w:rsidRDefault="007B1386" w:rsidP="007B1386">
      <w:pPr>
        <w:ind w:left="1077"/>
        <w:jc w:val="both"/>
      </w:pPr>
      <w:r w:rsidRPr="00465A14">
        <w:t>Where modifications to raw assay values are required (e.g.</w:t>
      </w:r>
      <w:r w:rsidR="00635A74">
        <w:t>,</w:t>
      </w:r>
      <w:r w:rsidRPr="00465A14">
        <w:t xml:space="preserve"> mg</w:t>
      </w:r>
      <w:r w:rsidR="00544301">
        <w:t>/</w:t>
      </w:r>
      <w:r w:rsidRPr="00465A14">
        <w:t>L to grams</w:t>
      </w:r>
      <w:r w:rsidR="00544301">
        <w:t>/</w:t>
      </w:r>
      <w:r w:rsidRPr="00465A14">
        <w:t xml:space="preserve">L or M3, etc.), a clear description of the rationale and procedures used must be documented. </w:t>
      </w:r>
      <w:r w:rsidRPr="009E3B05">
        <w:t xml:space="preserve">The conversions are largely mathematical operations, </w:t>
      </w:r>
      <w:proofErr w:type="gramStart"/>
      <w:r w:rsidRPr="009E3B05">
        <w:t>as long a</w:t>
      </w:r>
      <w:r w:rsidR="00544301">
        <w:t>s</w:t>
      </w:r>
      <w:proofErr w:type="gramEnd"/>
      <w:r w:rsidRPr="009E3B05">
        <w:t xml:space="preserve"> the relationship between all units and brine density is understood.</w:t>
      </w:r>
      <w:r>
        <w:t xml:space="preserve"> </w:t>
      </w:r>
      <w:r w:rsidRPr="00465A14">
        <w:t>Preparation and maintenance of the changes or modifications to the raw assay information is recommended.</w:t>
      </w:r>
    </w:p>
    <w:p w14:paraId="454A55DD" w14:textId="77777777" w:rsidR="00A3520F" w:rsidRDefault="00A3520F">
      <w:pPr>
        <w:pBdr>
          <w:top w:val="nil"/>
          <w:left w:val="nil"/>
          <w:bottom w:val="nil"/>
          <w:right w:val="nil"/>
          <w:between w:val="nil"/>
        </w:pBdr>
        <w:jc w:val="both"/>
        <w:rPr>
          <w:color w:val="000000"/>
          <w:sz w:val="24"/>
          <w:szCs w:val="24"/>
        </w:rPr>
      </w:pPr>
    </w:p>
    <w:p w14:paraId="2CAD7E7A" w14:textId="349DF240" w:rsidR="00CA5D22" w:rsidRPr="00C65688" w:rsidRDefault="00A95283">
      <w:pPr>
        <w:pStyle w:val="Heading3"/>
        <w:numPr>
          <w:ilvl w:val="0"/>
          <w:numId w:val="9"/>
        </w:numPr>
        <w:ind w:left="1238"/>
        <w:rPr>
          <w:rFonts w:ascii="Times New Roman" w:eastAsia="Times New Roman" w:hAnsi="Times New Roman" w:cs="Times New Roman"/>
          <w:color w:val="365F91" w:themeColor="accent1" w:themeShade="BF"/>
        </w:rPr>
      </w:pPr>
      <w:r>
        <w:rPr>
          <w:rFonts w:ascii="Times New Roman" w:eastAsia="Times New Roman" w:hAnsi="Times New Roman" w:cs="Times New Roman"/>
        </w:rPr>
        <w:t xml:space="preserve">   </w:t>
      </w:r>
      <w:bookmarkStart w:id="25" w:name="_Toc212629270"/>
      <w:r w:rsidR="00C47B21" w:rsidRPr="00C47B21">
        <w:rPr>
          <w:rFonts w:ascii="Times New Roman" w:eastAsia="Times New Roman" w:hAnsi="Times New Roman" w:cs="Times New Roman"/>
          <w:color w:val="365F91" w:themeColor="accent1" w:themeShade="BF"/>
        </w:rPr>
        <w:t>Statistical Data Analysis &amp; Identification of Outlier Values</w:t>
      </w:r>
      <w:bookmarkEnd w:id="25"/>
    </w:p>
    <w:p w14:paraId="01DE397F" w14:textId="77777777" w:rsidR="00DD4C63" w:rsidRDefault="00DD4C63" w:rsidP="00BB7AEB">
      <w:pPr>
        <w:pBdr>
          <w:top w:val="nil"/>
          <w:left w:val="nil"/>
          <w:bottom w:val="nil"/>
          <w:right w:val="nil"/>
          <w:between w:val="nil"/>
        </w:pBdr>
        <w:ind w:left="1440"/>
        <w:jc w:val="both"/>
      </w:pPr>
      <w:r>
        <w:t>Statistical analysis of key parameters (such as thickness, porosity, permeability, and grade) is recommended.</w:t>
      </w:r>
    </w:p>
    <w:p w14:paraId="45507F13" w14:textId="77777777" w:rsidR="00DD4C63" w:rsidRDefault="00DD4C63" w:rsidP="00BB7AEB">
      <w:pPr>
        <w:pBdr>
          <w:top w:val="nil"/>
          <w:left w:val="nil"/>
          <w:bottom w:val="nil"/>
          <w:right w:val="nil"/>
          <w:between w:val="nil"/>
        </w:pBdr>
        <w:ind w:left="1440"/>
        <w:jc w:val="both"/>
      </w:pPr>
    </w:p>
    <w:p w14:paraId="3C27CFC0" w14:textId="568C2E93" w:rsidR="00DD4C63" w:rsidRDefault="00DD4C63" w:rsidP="00BB7AEB">
      <w:pPr>
        <w:pBdr>
          <w:top w:val="nil"/>
          <w:left w:val="nil"/>
          <w:bottom w:val="nil"/>
          <w:right w:val="nil"/>
          <w:between w:val="nil"/>
        </w:pBdr>
        <w:ind w:left="1440"/>
        <w:jc w:val="both"/>
      </w:pPr>
      <w:proofErr w:type="gramStart"/>
      <w:r>
        <w:t>Subsequent to</w:t>
      </w:r>
      <w:proofErr w:type="gramEnd"/>
      <w:r>
        <w:t xml:space="preserve"> statistical analysis above, identification of outliers, those small proportion of values inconsistent with </w:t>
      </w:r>
      <w:proofErr w:type="gramStart"/>
      <w:r>
        <w:t>the majority of</w:t>
      </w:r>
      <w:proofErr w:type="gramEnd"/>
      <w:r>
        <w:t xml:space="preserve"> the data, must be recognized and managed in the estimate because high or low value outliers can contribute to serious over- or under-estimation of resource and reserve estimates.  Statistical analysis of all variables contributing to the brine mineral estimates (e.g.</w:t>
      </w:r>
      <w:r w:rsidR="0016755A">
        <w:t>,</w:t>
      </w:r>
      <w:r>
        <w:t xml:space="preserve"> porosity, grade) are recommended. </w:t>
      </w:r>
    </w:p>
    <w:p w14:paraId="5E59CD0B" w14:textId="77777777" w:rsidR="00DD4C63" w:rsidRDefault="00DD4C63" w:rsidP="00BB7AEB">
      <w:pPr>
        <w:pBdr>
          <w:top w:val="nil"/>
          <w:left w:val="nil"/>
          <w:bottom w:val="nil"/>
          <w:right w:val="nil"/>
          <w:between w:val="nil"/>
        </w:pBdr>
        <w:ind w:left="1440"/>
        <w:jc w:val="both"/>
      </w:pPr>
    </w:p>
    <w:p w14:paraId="361C0619" w14:textId="77777777" w:rsidR="00DD4C63" w:rsidRDefault="00DD4C63" w:rsidP="00BB7AEB">
      <w:pPr>
        <w:pBdr>
          <w:top w:val="nil"/>
          <w:left w:val="nil"/>
          <w:bottom w:val="nil"/>
          <w:right w:val="nil"/>
          <w:between w:val="nil"/>
        </w:pBdr>
        <w:ind w:left="1440"/>
        <w:jc w:val="both"/>
      </w:pPr>
      <w:r>
        <w:t xml:space="preserve">Recognition of the impact of outlier values (a component of grade continuity) should be made and a procedure devised for incorporating such data appropriately into an estimate. The Practitioners should provide documentation of the approach selected, along with justification and basis for the decision, and include reconciliation of estimated model grades with available production information. Comparisons of the outcome of the different approaches can be useful. </w:t>
      </w:r>
    </w:p>
    <w:p w14:paraId="6C22C485" w14:textId="77777777" w:rsidR="00DD4C63" w:rsidRDefault="00DD4C63" w:rsidP="00BB7AEB">
      <w:pPr>
        <w:pBdr>
          <w:top w:val="nil"/>
          <w:left w:val="nil"/>
          <w:bottom w:val="nil"/>
          <w:right w:val="nil"/>
          <w:between w:val="nil"/>
        </w:pBdr>
        <w:ind w:left="1440"/>
        <w:jc w:val="both"/>
      </w:pPr>
    </w:p>
    <w:p w14:paraId="0013A23A" w14:textId="0CDA218C" w:rsidR="00CA5D22" w:rsidRDefault="00DD4C63" w:rsidP="00BB7AEB">
      <w:pPr>
        <w:pBdr>
          <w:top w:val="nil"/>
          <w:left w:val="nil"/>
          <w:bottom w:val="nil"/>
          <w:right w:val="nil"/>
          <w:between w:val="nil"/>
        </w:pBdr>
        <w:ind w:left="1440"/>
        <w:jc w:val="both"/>
      </w:pPr>
      <w:r>
        <w:t>Selecting an approach for treating outlier values is best carried out by reconciling the resulting estimated model grades and brine volumes with production information and evaluating recovery factors against existing production (or producing analogues). In the absence of production data, statistical methods and graphical methods may be used.</w:t>
      </w:r>
    </w:p>
    <w:p w14:paraId="39E8F209" w14:textId="77777777" w:rsidR="002047FE" w:rsidRDefault="002047FE" w:rsidP="00BB7AEB">
      <w:pPr>
        <w:pBdr>
          <w:top w:val="nil"/>
          <w:left w:val="nil"/>
          <w:bottom w:val="nil"/>
          <w:right w:val="nil"/>
          <w:between w:val="nil"/>
        </w:pBdr>
        <w:ind w:left="1440"/>
        <w:jc w:val="both"/>
      </w:pPr>
    </w:p>
    <w:p w14:paraId="55ED42A8" w14:textId="3375D3BC" w:rsidR="007E2F83" w:rsidRDefault="007E2F83" w:rsidP="002047FE">
      <w:pPr>
        <w:pStyle w:val="Heading3"/>
        <w:numPr>
          <w:ilvl w:val="0"/>
          <w:numId w:val="38"/>
        </w:numPr>
        <w:ind w:left="1236"/>
        <w:rPr>
          <w:rFonts w:ascii="Times New Roman" w:eastAsia="Times New Roman" w:hAnsi="Times New Roman" w:cs="Times New Roman"/>
          <w:color w:val="365F91" w:themeColor="accent1" w:themeShade="BF"/>
        </w:rPr>
      </w:pPr>
      <w:r>
        <w:rPr>
          <w:rFonts w:ascii="Times New Roman" w:eastAsia="Times New Roman" w:hAnsi="Times New Roman" w:cs="Times New Roman"/>
        </w:rPr>
        <w:lastRenderedPageBreak/>
        <w:t xml:space="preserve">  </w:t>
      </w:r>
      <w:r w:rsidR="00D92163">
        <w:rPr>
          <w:rFonts w:ascii="Times New Roman" w:eastAsia="Times New Roman" w:hAnsi="Times New Roman" w:cs="Times New Roman"/>
        </w:rPr>
        <w:t xml:space="preserve"> </w:t>
      </w:r>
      <w:bookmarkStart w:id="26" w:name="_Toc212629271"/>
      <w:r w:rsidR="00C92094" w:rsidRPr="00C92094">
        <w:rPr>
          <w:rFonts w:ascii="Times New Roman" w:eastAsia="Times New Roman" w:hAnsi="Times New Roman" w:cs="Times New Roman"/>
          <w:color w:val="365F91" w:themeColor="accent1" w:themeShade="BF"/>
        </w:rPr>
        <w:t>Extrapolation Considerations</w:t>
      </w:r>
      <w:bookmarkEnd w:id="26"/>
    </w:p>
    <w:p w14:paraId="53A58AA3" w14:textId="68D86DF5" w:rsidR="00B85547" w:rsidRPr="00465A14" w:rsidRDefault="00B85547" w:rsidP="00B85547">
      <w:pPr>
        <w:ind w:left="1440"/>
        <w:jc w:val="both"/>
      </w:pPr>
      <w:r w:rsidRPr="00465A14">
        <w:t xml:space="preserve">Whatever data </w:t>
      </w:r>
      <w:r>
        <w:t>are</w:t>
      </w:r>
      <w:r w:rsidRPr="00465A14">
        <w:t xml:space="preserve"> selected to support the extrapolation beyond specific data points should be supported by one or more of the related parameters that infer or indicate continuity of the</w:t>
      </w:r>
      <w:r>
        <w:t xml:space="preserve"> brine</w:t>
      </w:r>
      <w:r w:rsidRPr="00465A14">
        <w:t xml:space="preserve"> deposit. The MRMR estimates should include reasonable limits for extrapolation from known data points tied to resource classification.  </w:t>
      </w:r>
    </w:p>
    <w:p w14:paraId="10C47E90" w14:textId="77777777" w:rsidR="00B85547" w:rsidRPr="00465A14" w:rsidRDefault="00B85547" w:rsidP="00B85547">
      <w:pPr>
        <w:ind w:left="1440"/>
        <w:jc w:val="both"/>
      </w:pPr>
    </w:p>
    <w:p w14:paraId="62129EC8" w14:textId="55E5BEE1" w:rsidR="00C92094" w:rsidRPr="002047FE" w:rsidRDefault="00B85547" w:rsidP="002047FE">
      <w:pPr>
        <w:ind w:left="1440"/>
        <w:jc w:val="both"/>
      </w:pPr>
      <w:r w:rsidRPr="00465A14">
        <w:t>Recommended tools to support extrapolation considerations are regulatory spacing units</w:t>
      </w:r>
      <w:r>
        <w:t xml:space="preserve"> (if applicable to local jurisdiction)</w:t>
      </w:r>
      <w:r w:rsidRPr="00465A14">
        <w:t>, pressure transient analysis (radius of investigation testing/boundary identification), analogue reservoir performance, distance between data points, and other relevant considerations at the discretion of the Practitioner.</w:t>
      </w:r>
    </w:p>
    <w:p w14:paraId="30927E91" w14:textId="2C34290A" w:rsidR="008D7DD0" w:rsidRDefault="008D7DD0" w:rsidP="008D7DD0">
      <w:pPr>
        <w:pStyle w:val="Heading1"/>
        <w:ind w:left="720" w:hanging="720"/>
        <w:rPr>
          <w:rFonts w:ascii="Times New Roman" w:eastAsia="Times New Roman" w:hAnsi="Times New Roman" w:cs="Times New Roman"/>
          <w:color w:val="365F91" w:themeColor="accent1" w:themeShade="BF"/>
        </w:rPr>
      </w:pPr>
      <w:bookmarkStart w:id="27" w:name="_Toc212629272"/>
      <w:r>
        <w:rPr>
          <w:rFonts w:ascii="Times New Roman" w:eastAsia="Times New Roman" w:hAnsi="Times New Roman" w:cs="Times New Roman"/>
          <w:color w:val="365F91" w:themeColor="accent1" w:themeShade="BF"/>
        </w:rPr>
        <w:t>5</w:t>
      </w:r>
      <w:r w:rsidRPr="00C65688">
        <w:rPr>
          <w:rFonts w:ascii="Times New Roman" w:eastAsia="Times New Roman" w:hAnsi="Times New Roman" w:cs="Times New Roman"/>
          <w:color w:val="365F91" w:themeColor="accent1" w:themeShade="BF"/>
        </w:rPr>
        <w:t>.</w:t>
      </w:r>
      <w:r w:rsidRPr="00C65688">
        <w:rPr>
          <w:rFonts w:ascii="Times New Roman" w:eastAsia="Times New Roman" w:hAnsi="Times New Roman" w:cs="Times New Roman"/>
          <w:color w:val="365F91" w:themeColor="accent1" w:themeShade="BF"/>
        </w:rPr>
        <w:tab/>
      </w:r>
      <w:r w:rsidR="00D014C9">
        <w:rPr>
          <w:rFonts w:ascii="Times New Roman" w:eastAsia="Times New Roman" w:hAnsi="Times New Roman" w:cs="Times New Roman"/>
          <w:color w:val="365F91" w:themeColor="accent1" w:themeShade="BF"/>
        </w:rPr>
        <w:t>Brine-Hosted Lithium Mineral Resource Es</w:t>
      </w:r>
      <w:r w:rsidR="00106AB4">
        <w:rPr>
          <w:rFonts w:ascii="Times New Roman" w:eastAsia="Times New Roman" w:hAnsi="Times New Roman" w:cs="Times New Roman"/>
          <w:color w:val="365F91" w:themeColor="accent1" w:themeShade="BF"/>
        </w:rPr>
        <w:t>timation</w:t>
      </w:r>
      <w:bookmarkEnd w:id="27"/>
    </w:p>
    <w:p w14:paraId="30901D46" w14:textId="77777777" w:rsidR="00496AD6" w:rsidRPr="00465A14" w:rsidRDefault="00496AD6" w:rsidP="00496AD6">
      <w:r w:rsidRPr="00465A14">
        <w:t xml:space="preserve">Spatial variability of grade can differ significantly among deposit types and within different zones of the same deposit. For BH-Li deposits, the lithium is dissolved in a mobile </w:t>
      </w:r>
      <w:proofErr w:type="gramStart"/>
      <w:r w:rsidRPr="00465A14">
        <w:t>fluid</w:t>
      </w:r>
      <w:proofErr w:type="gramEnd"/>
      <w:r w:rsidRPr="00465A14">
        <w:t xml:space="preserve"> and this mobility must be considered. Grade variation can exist within different stratigraphic intervals within a deposit that are separated by a low permeability interval (aquitard or seal) and temperature-salinity variation effects on grade with depth or position should be considered.</w:t>
      </w:r>
    </w:p>
    <w:p w14:paraId="23BFDE19" w14:textId="77777777" w:rsidR="00496AD6" w:rsidRPr="00465A14" w:rsidRDefault="00496AD6" w:rsidP="00496AD6"/>
    <w:p w14:paraId="12B82C7E" w14:textId="77777777" w:rsidR="00496AD6" w:rsidRPr="00465A14" w:rsidRDefault="00496AD6" w:rsidP="00496AD6">
      <w:r w:rsidRPr="00465A14">
        <w:t>The Practitioners must select appropriate estimation method(s) or techniques for the deposit model. Estimation methods include various approaches that use statistical analysis to represent the fluid and grade data in the subsurface. The choice of method(s) should be based on the geology, the attribute/variable being modelled, quantity and spatial distribution of data, complexity of grade distribution within the deposit, presence of high-grade outliers, results of reconciliation studies (or history matches) for projects with production histories, and the anticipated end use of the resource estimate.</w:t>
      </w:r>
      <w:r>
        <w:t xml:space="preserve"> Examples of common techniques are shown in Table 3.</w:t>
      </w:r>
    </w:p>
    <w:p w14:paraId="3E8F9539" w14:textId="77777777" w:rsidR="00496AD6" w:rsidRPr="00465A14" w:rsidRDefault="00496AD6" w:rsidP="00496AD6"/>
    <w:p w14:paraId="255C6F12" w14:textId="77777777" w:rsidR="00496AD6" w:rsidRDefault="00496AD6" w:rsidP="00496AD6">
      <w:r w:rsidRPr="00465A14">
        <w:t xml:space="preserve">Regardless of which criteria or methods are used, they should be documented in sufficient detail so that the results are reproducible by others. </w:t>
      </w:r>
    </w:p>
    <w:p w14:paraId="131647C6" w14:textId="77777777" w:rsidR="00594805" w:rsidRPr="00465A14" w:rsidRDefault="00594805" w:rsidP="00496AD6"/>
    <w:tbl>
      <w:tblPr>
        <w:tblStyle w:val="TableGrid"/>
        <w:tblW w:w="9776" w:type="dxa"/>
        <w:jc w:val="center"/>
        <w:tblLook w:val="04A0" w:firstRow="1" w:lastRow="0" w:firstColumn="1" w:lastColumn="0" w:noHBand="0" w:noVBand="1"/>
      </w:tblPr>
      <w:tblGrid>
        <w:gridCol w:w="2263"/>
        <w:gridCol w:w="3756"/>
        <w:gridCol w:w="3757"/>
      </w:tblGrid>
      <w:tr w:rsidR="002049EB" w:rsidRPr="00AB049F" w14:paraId="1E546BCB" w14:textId="77777777" w:rsidTr="00FB42F7">
        <w:trPr>
          <w:jc w:val="center"/>
        </w:trPr>
        <w:tc>
          <w:tcPr>
            <w:tcW w:w="2263" w:type="dxa"/>
            <w:tcBorders>
              <w:bottom w:val="single" w:sz="4" w:space="0" w:color="auto"/>
            </w:tcBorders>
          </w:tcPr>
          <w:p w14:paraId="505326E5" w14:textId="77777777" w:rsidR="002049EB" w:rsidRPr="0036671B" w:rsidRDefault="002049EB" w:rsidP="00FB42F7">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p>
        </w:tc>
        <w:tc>
          <w:tcPr>
            <w:tcW w:w="3756" w:type="dxa"/>
            <w:tcBorders>
              <w:bottom w:val="single" w:sz="4" w:space="0" w:color="auto"/>
            </w:tcBorders>
          </w:tcPr>
          <w:p w14:paraId="21080F36" w14:textId="77777777" w:rsidR="002049EB" w:rsidRPr="0074094B" w:rsidRDefault="002049EB" w:rsidP="00FB42F7">
            <w:pPr>
              <w:kinsoku w:val="0"/>
              <w:overflowPunct w:val="0"/>
              <w:autoSpaceDE w:val="0"/>
              <w:autoSpaceDN w:val="0"/>
              <w:adjustRightInd w:val="0"/>
              <w:spacing w:line="258" w:lineRule="exact"/>
              <w:jc w:val="center"/>
              <w:rPr>
                <w:rFonts w:ascii="Times New Roman" w:eastAsia="Times New Roman" w:hAnsi="Times New Roman" w:cs="Times New Roman"/>
                <w:b/>
                <w:bCs/>
                <w:kern w:val="0"/>
                <w:sz w:val="22"/>
                <w:szCs w:val="22"/>
                <w:lang w:val="en-GB" w:eastAsia="en-CA"/>
                <w14:ligatures w14:val="none"/>
              </w:rPr>
            </w:pPr>
            <w:r w:rsidRPr="0074094B">
              <w:rPr>
                <w:rFonts w:ascii="Times New Roman" w:eastAsia="Times New Roman" w:hAnsi="Times New Roman" w:cs="Times New Roman"/>
                <w:b/>
                <w:bCs/>
                <w:kern w:val="0"/>
                <w:sz w:val="22"/>
                <w:szCs w:val="22"/>
                <w:lang w:val="en-GB" w:eastAsia="en-CA"/>
                <w14:ligatures w14:val="none"/>
              </w:rPr>
              <w:t>Sedimentary Basin</w:t>
            </w:r>
          </w:p>
        </w:tc>
        <w:tc>
          <w:tcPr>
            <w:tcW w:w="3757" w:type="dxa"/>
            <w:tcBorders>
              <w:bottom w:val="single" w:sz="4" w:space="0" w:color="auto"/>
            </w:tcBorders>
          </w:tcPr>
          <w:p w14:paraId="4D3C534C" w14:textId="77777777" w:rsidR="002049EB" w:rsidRPr="0074094B" w:rsidRDefault="002049EB" w:rsidP="00FB42F7">
            <w:pPr>
              <w:kinsoku w:val="0"/>
              <w:overflowPunct w:val="0"/>
              <w:autoSpaceDE w:val="0"/>
              <w:autoSpaceDN w:val="0"/>
              <w:adjustRightInd w:val="0"/>
              <w:spacing w:line="258" w:lineRule="exact"/>
              <w:jc w:val="center"/>
              <w:rPr>
                <w:rFonts w:ascii="Times New Roman" w:eastAsia="Times New Roman" w:hAnsi="Times New Roman" w:cs="Times New Roman"/>
                <w:b/>
                <w:bCs/>
                <w:kern w:val="0"/>
                <w:sz w:val="22"/>
                <w:szCs w:val="22"/>
                <w:lang w:val="en-GB" w:eastAsia="en-CA"/>
                <w14:ligatures w14:val="none"/>
              </w:rPr>
            </w:pPr>
            <w:r w:rsidRPr="0074094B">
              <w:rPr>
                <w:rFonts w:ascii="Times New Roman" w:eastAsia="Times New Roman" w:hAnsi="Times New Roman" w:cs="Times New Roman"/>
                <w:b/>
                <w:bCs/>
                <w:kern w:val="0"/>
                <w:sz w:val="22"/>
                <w:szCs w:val="22"/>
                <w:lang w:val="en-GB" w:eastAsia="en-CA"/>
                <w14:ligatures w14:val="none"/>
              </w:rPr>
              <w:t>Geothermal</w:t>
            </w:r>
          </w:p>
        </w:tc>
      </w:tr>
      <w:tr w:rsidR="002049EB" w:rsidRPr="00AB049F" w14:paraId="4E4CBDB7" w14:textId="77777777" w:rsidTr="00FB42F7">
        <w:trPr>
          <w:jc w:val="center"/>
        </w:trPr>
        <w:tc>
          <w:tcPr>
            <w:tcW w:w="2263" w:type="dxa"/>
          </w:tcPr>
          <w:p w14:paraId="27B814C7" w14:textId="77777777" w:rsidR="002049EB" w:rsidRPr="0036671B" w:rsidRDefault="002049EB"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Data analysis and outlier values</w:t>
            </w:r>
          </w:p>
        </w:tc>
        <w:tc>
          <w:tcPr>
            <w:tcW w:w="7513" w:type="dxa"/>
            <w:gridSpan w:val="2"/>
          </w:tcPr>
          <w:p w14:paraId="5C01DB73" w14:textId="77777777" w:rsidR="002049EB" w:rsidRPr="0036671B" w:rsidRDefault="002049EB" w:rsidP="005E5003">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Univariate statistics, multi-parameter comparisons</w:t>
            </w:r>
          </w:p>
        </w:tc>
      </w:tr>
      <w:tr w:rsidR="002049EB" w:rsidRPr="00AB049F" w14:paraId="255ED69D" w14:textId="77777777" w:rsidTr="00FB42F7">
        <w:trPr>
          <w:jc w:val="center"/>
        </w:trPr>
        <w:tc>
          <w:tcPr>
            <w:tcW w:w="2263" w:type="dxa"/>
          </w:tcPr>
          <w:p w14:paraId="711707BE" w14:textId="77777777" w:rsidR="002049EB" w:rsidRPr="0036671B" w:rsidRDefault="002049EB"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Mineral resource model</w:t>
            </w:r>
          </w:p>
        </w:tc>
        <w:tc>
          <w:tcPr>
            <w:tcW w:w="7513" w:type="dxa"/>
            <w:gridSpan w:val="2"/>
          </w:tcPr>
          <w:p w14:paraId="1B91044E" w14:textId="77777777" w:rsidR="002049EB" w:rsidRPr="0036671B" w:rsidRDefault="002049EB" w:rsidP="005E5003">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Simple spreadsheet modelling; 3D block modelling, finite element analysis, mass balance, equation of state; brine concentration isopleths (2-D and 3-D)</w:t>
            </w:r>
          </w:p>
        </w:tc>
      </w:tr>
      <w:tr w:rsidR="002049EB" w:rsidRPr="00AB049F" w14:paraId="4389B99B" w14:textId="77777777" w:rsidTr="00FB42F7">
        <w:trPr>
          <w:jc w:val="center"/>
        </w:trPr>
        <w:tc>
          <w:tcPr>
            <w:tcW w:w="2263" w:type="dxa"/>
          </w:tcPr>
          <w:p w14:paraId="425C1A4E" w14:textId="77777777" w:rsidR="002049EB" w:rsidRPr="0036671B" w:rsidRDefault="002049EB"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Mineral resource calculation basis and boundary considerations</w:t>
            </w:r>
          </w:p>
        </w:tc>
        <w:tc>
          <w:tcPr>
            <w:tcW w:w="3756" w:type="dxa"/>
          </w:tcPr>
          <w:p w14:paraId="6269F0EF" w14:textId="77777777" w:rsidR="002049EB" w:rsidRPr="0036671B" w:rsidRDefault="002049EB" w:rsidP="005E5003">
            <w:pPr>
              <w:kinsoku w:val="0"/>
              <w:overflowPunct w:val="0"/>
              <w:autoSpaceDE w:val="0"/>
              <w:autoSpaceDN w:val="0"/>
              <w:adjustRightInd w:val="0"/>
              <w:spacing w:line="258" w:lineRule="exact"/>
              <w:jc w:val="center"/>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Rock volume x effective porosity = pore volume – non-brine pore volume x brine saturation</w:t>
            </w:r>
          </w:p>
        </w:tc>
        <w:tc>
          <w:tcPr>
            <w:tcW w:w="3757" w:type="dxa"/>
          </w:tcPr>
          <w:p w14:paraId="154CEF6C" w14:textId="77777777" w:rsidR="002049EB" w:rsidRPr="0036671B" w:rsidRDefault="002049EB" w:rsidP="005E5003">
            <w:pPr>
              <w:kinsoku w:val="0"/>
              <w:overflowPunct w:val="0"/>
              <w:autoSpaceDE w:val="0"/>
              <w:autoSpaceDN w:val="0"/>
              <w:adjustRightInd w:val="0"/>
              <w:spacing w:line="258" w:lineRule="exact"/>
              <w:jc w:val="center"/>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Brine volume x concentration x recovery factor</w:t>
            </w:r>
          </w:p>
        </w:tc>
      </w:tr>
      <w:tr w:rsidR="002049EB" w:rsidRPr="00AB049F" w14:paraId="365642B3" w14:textId="77777777" w:rsidTr="00FB42F7">
        <w:trPr>
          <w:jc w:val="center"/>
        </w:trPr>
        <w:tc>
          <w:tcPr>
            <w:tcW w:w="2263" w:type="dxa"/>
          </w:tcPr>
          <w:p w14:paraId="15A25211" w14:textId="77777777" w:rsidR="002049EB" w:rsidRPr="0036671B" w:rsidRDefault="002049EB"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Estimation categories (measured, indicated, inferred)</w:t>
            </w:r>
          </w:p>
        </w:tc>
        <w:tc>
          <w:tcPr>
            <w:tcW w:w="7513" w:type="dxa"/>
            <w:gridSpan w:val="2"/>
          </w:tcPr>
          <w:p w14:paraId="0F331917" w14:textId="77777777" w:rsidR="002049EB" w:rsidRPr="0036671B" w:rsidRDefault="002049EB" w:rsidP="005E5003">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3D block model variance; geostatistical analysis; borehole and/or sample spacing/density criteria</w:t>
            </w:r>
          </w:p>
        </w:tc>
      </w:tr>
      <w:tr w:rsidR="002049EB" w:rsidRPr="00AB049F" w14:paraId="17AEAF0E" w14:textId="77777777" w:rsidTr="00FB42F7">
        <w:trPr>
          <w:jc w:val="center"/>
        </w:trPr>
        <w:tc>
          <w:tcPr>
            <w:tcW w:w="2263" w:type="dxa"/>
          </w:tcPr>
          <w:p w14:paraId="2649A179" w14:textId="77777777" w:rsidR="002049EB" w:rsidRPr="0036671B" w:rsidRDefault="002049EB" w:rsidP="00D5262D">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Mineral resource risk assessment</w:t>
            </w:r>
          </w:p>
        </w:tc>
        <w:tc>
          <w:tcPr>
            <w:tcW w:w="7513" w:type="dxa"/>
            <w:gridSpan w:val="2"/>
          </w:tcPr>
          <w:p w14:paraId="71C46DA1" w14:textId="77777777" w:rsidR="002049EB" w:rsidRPr="0036671B" w:rsidRDefault="002049EB" w:rsidP="005E5003">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r w:rsidRPr="0036671B">
              <w:rPr>
                <w:rFonts w:ascii="Times New Roman" w:eastAsia="Times New Roman" w:hAnsi="Times New Roman" w:cs="Times New Roman"/>
                <w:kern w:val="0"/>
                <w:sz w:val="22"/>
                <w:szCs w:val="22"/>
                <w:lang w:val="en-GB" w:eastAsia="en-CA"/>
                <w14:ligatures w14:val="none"/>
              </w:rPr>
              <w:t>Tornado uncertainty or other analysis of variables contributing to resource estimates (e.g. porosity, recovery factors, cut-off grade)</w:t>
            </w:r>
          </w:p>
        </w:tc>
      </w:tr>
    </w:tbl>
    <w:p w14:paraId="6AB57FF3" w14:textId="77777777" w:rsidR="0036671B" w:rsidRPr="00465A14" w:rsidRDefault="0036671B" w:rsidP="0036671B">
      <w:pPr>
        <w:pStyle w:val="Caption"/>
        <w:keepNext/>
      </w:pPr>
      <w:r w:rsidRPr="00465A14">
        <w:t xml:space="preserve">Table </w:t>
      </w:r>
      <w:r>
        <w:fldChar w:fldCharType="begin"/>
      </w:r>
      <w:r>
        <w:instrText xml:space="preserve"> SEQ Table \* ARABIC </w:instrText>
      </w:r>
      <w:r>
        <w:fldChar w:fldCharType="separate"/>
      </w:r>
      <w:r w:rsidRPr="00AB049F">
        <w:t>3</w:t>
      </w:r>
      <w:r>
        <w:fldChar w:fldCharType="end"/>
      </w:r>
      <w:r w:rsidRPr="00465A14">
        <w:t>: Examples of sedimentary basin and geothermal BH-Li mineral resource estimation methods and tools</w:t>
      </w:r>
    </w:p>
    <w:p w14:paraId="0B3F9CC0" w14:textId="0D3F6F44" w:rsidR="00B60A88" w:rsidRDefault="00B60A88" w:rsidP="00B60A88">
      <w:pPr>
        <w:pStyle w:val="Heading2"/>
        <w:ind w:left="360" w:firstLine="0"/>
        <w:jc w:val="both"/>
        <w:rPr>
          <w:color w:val="365F91" w:themeColor="accent1" w:themeShade="BF"/>
          <w:lang w:val="en-US"/>
        </w:rPr>
      </w:pPr>
      <w:bookmarkStart w:id="28" w:name="_Toc212629273"/>
      <w:r>
        <w:rPr>
          <w:rFonts w:ascii="Times New Roman" w:hAnsi="Times New Roman" w:cs="Times New Roman"/>
          <w:color w:val="365F91" w:themeColor="accent1" w:themeShade="BF"/>
        </w:rPr>
        <w:t>5</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1</w:t>
      </w:r>
      <w:r w:rsidRPr="00C65688">
        <w:rPr>
          <w:rFonts w:ascii="Times New Roman" w:hAnsi="Times New Roman" w:cs="Times New Roman"/>
          <w:color w:val="365F91" w:themeColor="accent1" w:themeShade="BF"/>
        </w:rPr>
        <w:t xml:space="preserve">.   </w:t>
      </w:r>
      <w:r w:rsidR="00380816">
        <w:rPr>
          <w:color w:val="365F91" w:themeColor="accent1" w:themeShade="BF"/>
          <w:lang w:val="en-US"/>
        </w:rPr>
        <w:t>Mineral Resource Statements</w:t>
      </w:r>
      <w:bookmarkEnd w:id="28"/>
    </w:p>
    <w:p w14:paraId="5FCB3EB6" w14:textId="35B130DA" w:rsidR="00380816" w:rsidRDefault="00380816" w:rsidP="00380816">
      <w:pPr>
        <w:ind w:left="1077"/>
        <w:jc w:val="both"/>
      </w:pPr>
      <w:r w:rsidRPr="00465A14">
        <w:t xml:space="preserve">Practitioners must ensure that all Mineral Resource statements satisfy the “reasonable prospects for eventual economic extraction” </w:t>
      </w:r>
      <w:r w:rsidR="00591F73">
        <w:t xml:space="preserve">(RPEEE) </w:t>
      </w:r>
      <w:r w:rsidRPr="00465A14">
        <w:t>requirement.</w:t>
      </w:r>
      <w:r w:rsidR="00591F73">
        <w:t xml:space="preserve"> </w:t>
      </w:r>
      <w:r>
        <w:t xml:space="preserve">In addition to fluid producibility, for lithium </w:t>
      </w:r>
      <w:r>
        <w:lastRenderedPageBreak/>
        <w:t xml:space="preserve">brine resources to qualify as reasonable prospect, the process for extraction of the lithium from the brine must exist and be specific to the brine chemistry of the resource. However, the process need not be commercial, as many lithium brine resources utilize emerging technologies.  </w:t>
      </w:r>
    </w:p>
    <w:p w14:paraId="1331A596" w14:textId="77777777" w:rsidR="00380816" w:rsidRDefault="00380816" w:rsidP="00380816">
      <w:pPr>
        <w:ind w:left="1077"/>
        <w:jc w:val="both"/>
      </w:pPr>
    </w:p>
    <w:p w14:paraId="72AA1A52" w14:textId="7A88D332" w:rsidR="00380816" w:rsidRDefault="00380816" w:rsidP="00380816">
      <w:pPr>
        <w:ind w:left="1077"/>
        <w:jc w:val="both"/>
      </w:pPr>
      <w:r>
        <w:t>Note that cut-off grades could be used in RPEEE but may not be well defined given that many DLE technologies are nascent and their performance may vary based on other attributes of brine chemistry or operating conditions. Further, other resource characteristics such as porosity and/or permeability cut-offs may be more impactful than grade in estimating brine mineral resources.</w:t>
      </w:r>
    </w:p>
    <w:p w14:paraId="02C0A9CA" w14:textId="77777777" w:rsidR="00380816" w:rsidRDefault="00380816" w:rsidP="00380816">
      <w:pPr>
        <w:ind w:left="1077"/>
        <w:jc w:val="both"/>
      </w:pPr>
    </w:p>
    <w:p w14:paraId="343E505F" w14:textId="77777777" w:rsidR="00380816" w:rsidRDefault="00380816" w:rsidP="00380816">
      <w:pPr>
        <w:ind w:left="1077"/>
        <w:jc w:val="both"/>
      </w:pPr>
      <w:r w:rsidRPr="00465A14">
        <w:t>Practitioners are encouraged to conform the Mineral Resource classification parameters to the practical limits of the potential mining or extraction methods.</w:t>
      </w:r>
    </w:p>
    <w:p w14:paraId="559E29E0" w14:textId="77777777" w:rsidR="00380816" w:rsidRPr="00465A14" w:rsidRDefault="00380816" w:rsidP="00380816">
      <w:pPr>
        <w:ind w:left="1077"/>
        <w:jc w:val="both"/>
      </w:pPr>
    </w:p>
    <w:p w14:paraId="6553ED80" w14:textId="07C8EB02" w:rsidR="00380816" w:rsidRPr="007019C5" w:rsidRDefault="00380816" w:rsidP="007019C5">
      <w:pPr>
        <w:ind w:left="1077"/>
        <w:jc w:val="both"/>
      </w:pPr>
      <w:r w:rsidRPr="00465A14">
        <w:t>For mineral resource estimates where economic analysis has been completed</w:t>
      </w:r>
      <w:r>
        <w:t>, such as in a scoping study</w:t>
      </w:r>
      <w:r w:rsidRPr="00465A14">
        <w:t>, it is recommended that the reference point be at the point of sale.</w:t>
      </w:r>
    </w:p>
    <w:p w14:paraId="5ABDC40D" w14:textId="02F8A20D" w:rsidR="007019C5" w:rsidRDefault="007019C5" w:rsidP="007019C5">
      <w:pPr>
        <w:pStyle w:val="Heading1"/>
        <w:ind w:left="720" w:hanging="720"/>
        <w:rPr>
          <w:rFonts w:ascii="Times New Roman" w:eastAsia="Times New Roman" w:hAnsi="Times New Roman" w:cs="Times New Roman"/>
          <w:color w:val="365F91" w:themeColor="accent1" w:themeShade="BF"/>
        </w:rPr>
      </w:pPr>
      <w:bookmarkStart w:id="29" w:name="_Toc212629274"/>
      <w:r>
        <w:rPr>
          <w:rFonts w:ascii="Times New Roman" w:eastAsia="Times New Roman" w:hAnsi="Times New Roman" w:cs="Times New Roman"/>
          <w:color w:val="365F91" w:themeColor="accent1" w:themeShade="BF"/>
        </w:rPr>
        <w:t>6</w:t>
      </w:r>
      <w:r w:rsidRPr="00C65688">
        <w:rPr>
          <w:rFonts w:ascii="Times New Roman" w:eastAsia="Times New Roman" w:hAnsi="Times New Roman" w:cs="Times New Roman"/>
          <w:color w:val="365F91" w:themeColor="accent1" w:themeShade="BF"/>
        </w:rPr>
        <w:t>.</w:t>
      </w:r>
      <w:r w:rsidRPr="00C65688">
        <w:rPr>
          <w:rFonts w:ascii="Times New Roman" w:eastAsia="Times New Roman" w:hAnsi="Times New Roman" w:cs="Times New Roman"/>
          <w:color w:val="365F91" w:themeColor="accent1" w:themeShade="BF"/>
        </w:rPr>
        <w:tab/>
      </w:r>
      <w:r>
        <w:rPr>
          <w:rFonts w:ascii="Times New Roman" w:eastAsia="Times New Roman" w:hAnsi="Times New Roman" w:cs="Times New Roman"/>
          <w:color w:val="365F91" w:themeColor="accent1" w:themeShade="BF"/>
        </w:rPr>
        <w:t>Brine-Hosted Lithium Mineral Reserve Estimation</w:t>
      </w:r>
      <w:bookmarkEnd w:id="29"/>
    </w:p>
    <w:p w14:paraId="48E4896F" w14:textId="77777777" w:rsidR="00CB58E6" w:rsidRDefault="00CB58E6" w:rsidP="00CB58E6">
      <w:pPr>
        <w:jc w:val="both"/>
      </w:pPr>
      <w:r w:rsidRPr="00465A14">
        <w:t xml:space="preserve">There are several industries that involve removal of liquid from confined or unconfined aquifers which can be referenced as guidance when estimating reserves in brines. Associated industries such as the oil and gas industry and the geothermal industry utilize the same technologies for liquid extraction, and even pre-processing of brine in certain circumstances. Consequently, the issuer may find the following references useful: Canadian Oil and Gas Evaluation Handbook (COGEH), Petroleum Resource Management System (PRMS) and the accompanying Guidelines for Application of the Petroleum Resources Management System, </w:t>
      </w:r>
      <w:r>
        <w:t xml:space="preserve">and </w:t>
      </w:r>
      <w:r w:rsidRPr="00465A14">
        <w:t xml:space="preserve">Geothermal resource and reserve assessment methodology: Overview, analysis and future directions.  </w:t>
      </w:r>
    </w:p>
    <w:p w14:paraId="027930E8" w14:textId="77777777" w:rsidR="00CB58E6" w:rsidRDefault="00CB58E6" w:rsidP="00CB58E6">
      <w:pPr>
        <w:jc w:val="both"/>
      </w:pPr>
    </w:p>
    <w:p w14:paraId="7DE93114" w14:textId="3F1B3355" w:rsidR="00CB58E6" w:rsidRDefault="00CB58E6" w:rsidP="00CB58E6">
      <w:pPr>
        <w:jc w:val="both"/>
      </w:pPr>
      <w:r>
        <w:t>Examples of recommended methodologies and tools are shown in Table 4.</w:t>
      </w:r>
    </w:p>
    <w:p w14:paraId="6A5E742F" w14:textId="77777777" w:rsidR="00CB58E6" w:rsidRPr="00465A14" w:rsidRDefault="00CB58E6" w:rsidP="00CB58E6">
      <w:pPr>
        <w:jc w:val="both"/>
      </w:pPr>
    </w:p>
    <w:tbl>
      <w:tblPr>
        <w:tblStyle w:val="TableGrid"/>
        <w:tblW w:w="10485" w:type="dxa"/>
        <w:tblLook w:val="04A0" w:firstRow="1" w:lastRow="0" w:firstColumn="1" w:lastColumn="0" w:noHBand="0" w:noVBand="1"/>
      </w:tblPr>
      <w:tblGrid>
        <w:gridCol w:w="3211"/>
        <w:gridCol w:w="3211"/>
        <w:gridCol w:w="4063"/>
      </w:tblGrid>
      <w:tr w:rsidR="00CB58E6" w:rsidRPr="00465A14" w14:paraId="720DCF0F" w14:textId="77777777" w:rsidTr="00594805">
        <w:tc>
          <w:tcPr>
            <w:tcW w:w="3211" w:type="dxa"/>
            <w:tcBorders>
              <w:bottom w:val="single" w:sz="4" w:space="0" w:color="auto"/>
            </w:tcBorders>
          </w:tcPr>
          <w:p w14:paraId="760CD0A9" w14:textId="77777777" w:rsidR="00CB58E6" w:rsidRPr="00FE374B" w:rsidRDefault="00CB58E6" w:rsidP="00FB42F7">
            <w:pPr>
              <w:kinsoku w:val="0"/>
              <w:overflowPunct w:val="0"/>
              <w:autoSpaceDE w:val="0"/>
              <w:autoSpaceDN w:val="0"/>
              <w:adjustRightInd w:val="0"/>
              <w:spacing w:line="258" w:lineRule="exact"/>
              <w:contextualSpacing/>
              <w:rPr>
                <w:rFonts w:ascii="Times New Roman" w:eastAsia="Times New Roman" w:hAnsi="Times New Roman" w:cs="Times New Roman"/>
                <w:kern w:val="0"/>
                <w:sz w:val="22"/>
                <w:szCs w:val="22"/>
                <w:lang w:val="en-GB" w:eastAsia="en-CA"/>
                <w14:ligatures w14:val="none"/>
              </w:rPr>
            </w:pPr>
          </w:p>
        </w:tc>
        <w:tc>
          <w:tcPr>
            <w:tcW w:w="3211" w:type="dxa"/>
            <w:tcBorders>
              <w:bottom w:val="single" w:sz="4" w:space="0" w:color="auto"/>
            </w:tcBorders>
          </w:tcPr>
          <w:p w14:paraId="64ADE219" w14:textId="77777777" w:rsidR="00CB58E6" w:rsidRPr="007C09DC"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b/>
                <w:bCs/>
                <w:kern w:val="0"/>
                <w:sz w:val="22"/>
                <w:szCs w:val="22"/>
                <w:lang w:val="en-GB" w:eastAsia="en-CA"/>
                <w14:ligatures w14:val="none"/>
              </w:rPr>
            </w:pPr>
            <w:r w:rsidRPr="007C09DC">
              <w:rPr>
                <w:rFonts w:ascii="Times New Roman" w:eastAsia="Times New Roman" w:hAnsi="Times New Roman" w:cs="Times New Roman"/>
                <w:b/>
                <w:bCs/>
                <w:kern w:val="0"/>
                <w:sz w:val="22"/>
                <w:szCs w:val="22"/>
                <w:lang w:val="en-GB" w:eastAsia="en-CA"/>
                <w14:ligatures w14:val="none"/>
              </w:rPr>
              <w:t>Sedimentary Basin</w:t>
            </w:r>
          </w:p>
        </w:tc>
        <w:tc>
          <w:tcPr>
            <w:tcW w:w="4063" w:type="dxa"/>
            <w:tcBorders>
              <w:bottom w:val="single" w:sz="4" w:space="0" w:color="auto"/>
            </w:tcBorders>
          </w:tcPr>
          <w:p w14:paraId="7DC7B8E9" w14:textId="77777777" w:rsidR="00CB58E6" w:rsidRPr="007C09DC"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b/>
                <w:bCs/>
                <w:kern w:val="0"/>
                <w:sz w:val="22"/>
                <w:szCs w:val="22"/>
                <w:lang w:val="en-GB" w:eastAsia="en-CA"/>
                <w14:ligatures w14:val="none"/>
              </w:rPr>
            </w:pPr>
            <w:r w:rsidRPr="007C09DC">
              <w:rPr>
                <w:rFonts w:ascii="Times New Roman" w:eastAsia="Times New Roman" w:hAnsi="Times New Roman" w:cs="Times New Roman"/>
                <w:b/>
                <w:bCs/>
                <w:kern w:val="0"/>
                <w:sz w:val="22"/>
                <w:szCs w:val="22"/>
                <w:lang w:val="en-GB" w:eastAsia="en-CA"/>
                <w14:ligatures w14:val="none"/>
              </w:rPr>
              <w:t>Geothermal</w:t>
            </w:r>
          </w:p>
        </w:tc>
      </w:tr>
      <w:tr w:rsidR="00CB58E6" w:rsidRPr="00465A14" w14:paraId="13DDDC4E" w14:textId="77777777" w:rsidTr="00594805">
        <w:tc>
          <w:tcPr>
            <w:tcW w:w="3211" w:type="dxa"/>
          </w:tcPr>
          <w:p w14:paraId="16CD5B94" w14:textId="77777777" w:rsidR="00CB58E6" w:rsidRPr="00FE374B" w:rsidRDefault="00CB58E6" w:rsidP="00FB42F7">
            <w:pPr>
              <w:kinsoku w:val="0"/>
              <w:overflowPunct w:val="0"/>
              <w:autoSpaceDE w:val="0"/>
              <w:autoSpaceDN w:val="0"/>
              <w:adjustRightInd w:val="0"/>
              <w:spacing w:line="258" w:lineRule="exact"/>
              <w:contextualSpacing/>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Mineral reserve model</w:t>
            </w:r>
          </w:p>
        </w:tc>
        <w:tc>
          <w:tcPr>
            <w:tcW w:w="3211" w:type="dxa"/>
          </w:tcPr>
          <w:p w14:paraId="5F3EEA3F" w14:textId="77777777" w:rsidR="00CB58E6" w:rsidRPr="00FE374B"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Brine flow and solute transport model (e.g. Eclipse, GEM)</w:t>
            </w:r>
          </w:p>
        </w:tc>
        <w:tc>
          <w:tcPr>
            <w:tcW w:w="4063" w:type="dxa"/>
          </w:tcPr>
          <w:p w14:paraId="0BAD568B" w14:textId="77777777" w:rsidR="00CB58E6" w:rsidRPr="00FE374B"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Brine flow, solute and thermal model (e.g. STARS)</w:t>
            </w:r>
          </w:p>
        </w:tc>
      </w:tr>
      <w:tr w:rsidR="00CB58E6" w:rsidRPr="00465A14" w14:paraId="2B3CFDE4" w14:textId="77777777" w:rsidTr="00594805">
        <w:tc>
          <w:tcPr>
            <w:tcW w:w="3211" w:type="dxa"/>
          </w:tcPr>
          <w:p w14:paraId="41594C97" w14:textId="77777777" w:rsidR="00CB58E6" w:rsidRPr="00FE374B" w:rsidRDefault="00CB58E6" w:rsidP="00FB42F7">
            <w:pPr>
              <w:kinsoku w:val="0"/>
              <w:overflowPunct w:val="0"/>
              <w:autoSpaceDE w:val="0"/>
              <w:autoSpaceDN w:val="0"/>
              <w:adjustRightInd w:val="0"/>
              <w:spacing w:line="258" w:lineRule="exact"/>
              <w:contextualSpacing/>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Cut-off grades</w:t>
            </w:r>
          </w:p>
        </w:tc>
        <w:tc>
          <w:tcPr>
            <w:tcW w:w="7274" w:type="dxa"/>
            <w:gridSpan w:val="2"/>
          </w:tcPr>
          <w:p w14:paraId="19DC15CC" w14:textId="77777777" w:rsidR="00CB58E6" w:rsidRPr="00FE374B"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Determined in consultation with process engineers</w:t>
            </w:r>
          </w:p>
        </w:tc>
      </w:tr>
      <w:tr w:rsidR="00CB58E6" w:rsidRPr="00465A14" w14:paraId="59DA5B97" w14:textId="77777777" w:rsidTr="00594805">
        <w:tc>
          <w:tcPr>
            <w:tcW w:w="3211" w:type="dxa"/>
          </w:tcPr>
          <w:p w14:paraId="5DE4D1F1" w14:textId="77777777" w:rsidR="00CB58E6" w:rsidRPr="00FE374B" w:rsidRDefault="00CB58E6" w:rsidP="00FB42F7">
            <w:pPr>
              <w:kinsoku w:val="0"/>
              <w:overflowPunct w:val="0"/>
              <w:autoSpaceDE w:val="0"/>
              <w:autoSpaceDN w:val="0"/>
              <w:adjustRightInd w:val="0"/>
              <w:spacing w:line="258" w:lineRule="exact"/>
              <w:contextualSpacing/>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Mining methods</w:t>
            </w:r>
          </w:p>
        </w:tc>
        <w:tc>
          <w:tcPr>
            <w:tcW w:w="7274" w:type="dxa"/>
            <w:gridSpan w:val="2"/>
          </w:tcPr>
          <w:p w14:paraId="2E56FAA5" w14:textId="77777777" w:rsidR="00CB58E6" w:rsidRPr="00FE374B"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Production well network description (including re-injection, if used)</w:t>
            </w:r>
          </w:p>
        </w:tc>
      </w:tr>
      <w:tr w:rsidR="00CB58E6" w:rsidRPr="00465A14" w14:paraId="3A42DCEE" w14:textId="77777777" w:rsidTr="00594805">
        <w:tc>
          <w:tcPr>
            <w:tcW w:w="3211" w:type="dxa"/>
          </w:tcPr>
          <w:p w14:paraId="28F88CEB" w14:textId="77777777" w:rsidR="00CB58E6" w:rsidRPr="00FE374B" w:rsidRDefault="00CB58E6" w:rsidP="00FB42F7">
            <w:pPr>
              <w:kinsoku w:val="0"/>
              <w:overflowPunct w:val="0"/>
              <w:autoSpaceDE w:val="0"/>
              <w:autoSpaceDN w:val="0"/>
              <w:adjustRightInd w:val="0"/>
              <w:spacing w:line="258" w:lineRule="exact"/>
              <w:contextualSpacing/>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Mineral processing</w:t>
            </w:r>
          </w:p>
        </w:tc>
        <w:tc>
          <w:tcPr>
            <w:tcW w:w="7274" w:type="dxa"/>
            <w:gridSpan w:val="2"/>
          </w:tcPr>
          <w:p w14:paraId="6242DDC6" w14:textId="77777777" w:rsidR="00CB58E6" w:rsidRPr="00FE374B"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Designed by process engineers</w:t>
            </w:r>
          </w:p>
        </w:tc>
      </w:tr>
      <w:tr w:rsidR="00CB58E6" w:rsidRPr="00465A14" w14:paraId="42BB63C5" w14:textId="77777777" w:rsidTr="00594805">
        <w:tc>
          <w:tcPr>
            <w:tcW w:w="3211" w:type="dxa"/>
          </w:tcPr>
          <w:p w14:paraId="322274CC" w14:textId="77777777" w:rsidR="00CB58E6" w:rsidRPr="00FE374B" w:rsidRDefault="00CB58E6" w:rsidP="00FB42F7">
            <w:pPr>
              <w:kinsoku w:val="0"/>
              <w:overflowPunct w:val="0"/>
              <w:autoSpaceDE w:val="0"/>
              <w:autoSpaceDN w:val="0"/>
              <w:adjustRightInd w:val="0"/>
              <w:spacing w:line="258" w:lineRule="exact"/>
              <w:contextualSpacing/>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Production schedule / life of mine</w:t>
            </w:r>
          </w:p>
        </w:tc>
        <w:tc>
          <w:tcPr>
            <w:tcW w:w="7274" w:type="dxa"/>
            <w:gridSpan w:val="2"/>
          </w:tcPr>
          <w:p w14:paraId="6EE783E2" w14:textId="77777777" w:rsidR="00CB58E6" w:rsidRPr="00FE374B" w:rsidRDefault="00CB58E6" w:rsidP="00FB42F7">
            <w:pPr>
              <w:kinsoku w:val="0"/>
              <w:overflowPunct w:val="0"/>
              <w:autoSpaceDE w:val="0"/>
              <w:autoSpaceDN w:val="0"/>
              <w:adjustRightInd w:val="0"/>
              <w:spacing w:line="258" w:lineRule="exact"/>
              <w:contextualSpacing/>
              <w:jc w:val="center"/>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Determined by design team and project proponent</w:t>
            </w:r>
          </w:p>
        </w:tc>
      </w:tr>
      <w:tr w:rsidR="00CB58E6" w:rsidRPr="00465A14" w14:paraId="30448EF4" w14:textId="77777777" w:rsidTr="00594805">
        <w:tc>
          <w:tcPr>
            <w:tcW w:w="3211" w:type="dxa"/>
          </w:tcPr>
          <w:p w14:paraId="29EF6159" w14:textId="77777777" w:rsidR="00CB58E6" w:rsidRPr="00FE374B" w:rsidRDefault="00CB58E6" w:rsidP="00FB42F7">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Mineral reserve calculation basis</w:t>
            </w:r>
          </w:p>
        </w:tc>
        <w:tc>
          <w:tcPr>
            <w:tcW w:w="7274" w:type="dxa"/>
            <w:gridSpan w:val="2"/>
          </w:tcPr>
          <w:p w14:paraId="594A9091" w14:textId="2B303B23" w:rsidR="00CB58E6" w:rsidRDefault="00CB58E6" w:rsidP="007C09DC">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Must match reference point with product (e.g.</w:t>
            </w:r>
            <w:r w:rsidR="007C09DC">
              <w:rPr>
                <w:rFonts w:ascii="Times New Roman" w:eastAsia="Times New Roman" w:hAnsi="Times New Roman" w:cs="Times New Roman"/>
                <w:kern w:val="0"/>
                <w:sz w:val="22"/>
                <w:szCs w:val="22"/>
                <w:lang w:val="en-GB" w:eastAsia="en-CA"/>
                <w14:ligatures w14:val="none"/>
              </w:rPr>
              <w:t>,</w:t>
            </w:r>
            <w:r w:rsidRPr="00FE374B">
              <w:rPr>
                <w:rFonts w:ascii="Times New Roman" w:eastAsia="Times New Roman" w:hAnsi="Times New Roman" w:cs="Times New Roman"/>
                <w:kern w:val="0"/>
                <w:sz w:val="22"/>
                <w:szCs w:val="22"/>
                <w:lang w:val="en-GB" w:eastAsia="en-CA"/>
                <w14:ligatures w14:val="none"/>
              </w:rPr>
              <w:t xml:space="preserve"> if reference point is at the wellhead, the product is brine with a given lithium concentration; if the reference point is at the inlet of the lithium extraction process, the product is brine with a given lithium concentration; if the reference point is at the outlet of the lithium extraction process, the product is a concentrated solution with a given lithium concentrate; if the reference point is at the point of sale, the product is battery-grade lithium hydroxide monohydrate or lithium carbonate equivalent).</w:t>
            </w:r>
          </w:p>
          <w:p w14:paraId="76D5D0A7" w14:textId="77777777" w:rsidR="00594805" w:rsidRPr="00594805" w:rsidRDefault="00594805" w:rsidP="007C09DC">
            <w:pPr>
              <w:kinsoku w:val="0"/>
              <w:overflowPunct w:val="0"/>
              <w:autoSpaceDE w:val="0"/>
              <w:autoSpaceDN w:val="0"/>
              <w:adjustRightInd w:val="0"/>
              <w:spacing w:line="258" w:lineRule="exact"/>
              <w:jc w:val="both"/>
              <w:rPr>
                <w:rFonts w:ascii="Times New Roman" w:eastAsia="Times New Roman" w:hAnsi="Times New Roman" w:cs="Times New Roman"/>
                <w:kern w:val="0"/>
                <w:sz w:val="16"/>
                <w:szCs w:val="16"/>
                <w:lang w:val="en-GB" w:eastAsia="en-CA"/>
                <w14:ligatures w14:val="none"/>
              </w:rPr>
            </w:pPr>
          </w:p>
          <w:p w14:paraId="3138857B" w14:textId="2CED99C1" w:rsidR="00CB58E6" w:rsidRDefault="00CB58E6" w:rsidP="007C09DC">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Practitioners must include resource/reserve losses through processing, and all associated costs.</w:t>
            </w:r>
          </w:p>
          <w:p w14:paraId="753E9B96" w14:textId="77777777" w:rsidR="00594805" w:rsidRPr="00FE374B" w:rsidRDefault="00594805" w:rsidP="007C09DC">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p>
          <w:p w14:paraId="60657BA0" w14:textId="77777777" w:rsidR="00CB58E6" w:rsidRPr="00FE374B" w:rsidRDefault="00CB58E6" w:rsidP="007C09DC">
            <w:pPr>
              <w:kinsoku w:val="0"/>
              <w:overflowPunct w:val="0"/>
              <w:autoSpaceDE w:val="0"/>
              <w:autoSpaceDN w:val="0"/>
              <w:adjustRightInd w:val="0"/>
              <w:spacing w:line="258" w:lineRule="exact"/>
              <w:jc w:val="both"/>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Recommend reference point at point of sale.</w:t>
            </w:r>
          </w:p>
        </w:tc>
      </w:tr>
      <w:tr w:rsidR="00CB58E6" w:rsidRPr="00465A14" w14:paraId="631BE2DD" w14:textId="77777777" w:rsidTr="00594805">
        <w:tc>
          <w:tcPr>
            <w:tcW w:w="3211" w:type="dxa"/>
          </w:tcPr>
          <w:p w14:paraId="512CFAB6" w14:textId="77777777" w:rsidR="00CB58E6" w:rsidRPr="00FE374B" w:rsidRDefault="00CB58E6" w:rsidP="00FB42F7">
            <w:pPr>
              <w:kinsoku w:val="0"/>
              <w:overflowPunct w:val="0"/>
              <w:autoSpaceDE w:val="0"/>
              <w:autoSpaceDN w:val="0"/>
              <w:adjustRightInd w:val="0"/>
              <w:spacing w:line="258" w:lineRule="exact"/>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Mineral reserve risk assessment</w:t>
            </w:r>
          </w:p>
        </w:tc>
        <w:tc>
          <w:tcPr>
            <w:tcW w:w="7274" w:type="dxa"/>
            <w:gridSpan w:val="2"/>
          </w:tcPr>
          <w:p w14:paraId="459AEA50" w14:textId="77777777" w:rsidR="00CB58E6" w:rsidRPr="00FE374B" w:rsidRDefault="00CB58E6" w:rsidP="00FB42F7">
            <w:pPr>
              <w:kinsoku w:val="0"/>
              <w:overflowPunct w:val="0"/>
              <w:autoSpaceDE w:val="0"/>
              <w:autoSpaceDN w:val="0"/>
              <w:adjustRightInd w:val="0"/>
              <w:spacing w:line="258" w:lineRule="exact"/>
              <w:jc w:val="center"/>
              <w:rPr>
                <w:rFonts w:ascii="Times New Roman" w:eastAsia="Times New Roman" w:hAnsi="Times New Roman" w:cs="Times New Roman"/>
                <w:kern w:val="0"/>
                <w:sz w:val="22"/>
                <w:szCs w:val="22"/>
                <w:lang w:val="en-GB" w:eastAsia="en-CA"/>
                <w14:ligatures w14:val="none"/>
              </w:rPr>
            </w:pPr>
            <w:r w:rsidRPr="00FE374B">
              <w:rPr>
                <w:rFonts w:ascii="Times New Roman" w:eastAsia="Times New Roman" w:hAnsi="Times New Roman" w:cs="Times New Roman"/>
                <w:kern w:val="0"/>
                <w:sz w:val="22"/>
                <w:szCs w:val="22"/>
                <w:lang w:val="en-GB" w:eastAsia="en-CA"/>
                <w14:ligatures w14:val="none"/>
              </w:rPr>
              <w:t>Sensitivity analysis of reserve</w:t>
            </w:r>
          </w:p>
        </w:tc>
      </w:tr>
    </w:tbl>
    <w:p w14:paraId="449C0D09" w14:textId="77777777" w:rsidR="00CB58E6" w:rsidRPr="00465A14" w:rsidRDefault="00CB58E6" w:rsidP="00CB58E6">
      <w:pPr>
        <w:pStyle w:val="Caption"/>
        <w:keepNext/>
      </w:pPr>
      <w:bookmarkStart w:id="30" w:name="_Ref188629617"/>
      <w:r w:rsidRPr="00465A14">
        <w:lastRenderedPageBreak/>
        <w:t xml:space="preserve">Table </w:t>
      </w:r>
      <w:r>
        <w:fldChar w:fldCharType="begin"/>
      </w:r>
      <w:r>
        <w:instrText xml:space="preserve"> SEQ Table \* ARABIC </w:instrText>
      </w:r>
      <w:r>
        <w:fldChar w:fldCharType="separate"/>
      </w:r>
      <w:r w:rsidRPr="00AB049F">
        <w:t>4</w:t>
      </w:r>
      <w:r>
        <w:fldChar w:fldCharType="end"/>
      </w:r>
      <w:bookmarkEnd w:id="30"/>
      <w:r w:rsidRPr="00465A14">
        <w:t>: Examples of sedimentary basin and geothermal BH-Li mineral reserve estimation methods and tools</w:t>
      </w:r>
    </w:p>
    <w:p w14:paraId="737D5856" w14:textId="56D80B02" w:rsidR="006940A7" w:rsidRDefault="006940A7" w:rsidP="006940A7">
      <w:pPr>
        <w:pStyle w:val="Heading2"/>
        <w:ind w:left="360" w:firstLine="0"/>
        <w:jc w:val="both"/>
        <w:rPr>
          <w:color w:val="365F91" w:themeColor="accent1" w:themeShade="BF"/>
          <w:lang w:val="en-US"/>
        </w:rPr>
      </w:pPr>
      <w:bookmarkStart w:id="31" w:name="_Toc212629275"/>
      <w:r>
        <w:rPr>
          <w:rFonts w:ascii="Times New Roman" w:hAnsi="Times New Roman" w:cs="Times New Roman"/>
          <w:color w:val="365F91" w:themeColor="accent1" w:themeShade="BF"/>
        </w:rPr>
        <w:t>6</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1</w:t>
      </w:r>
      <w:r w:rsidRPr="00C65688">
        <w:rPr>
          <w:rFonts w:ascii="Times New Roman" w:hAnsi="Times New Roman" w:cs="Times New Roman"/>
          <w:color w:val="365F91" w:themeColor="accent1" w:themeShade="BF"/>
        </w:rPr>
        <w:t xml:space="preserve">.   </w:t>
      </w:r>
      <w:r w:rsidR="00576E21" w:rsidRPr="00576E21">
        <w:rPr>
          <w:color w:val="365F91" w:themeColor="accent1" w:themeShade="BF"/>
          <w:lang w:val="en-US"/>
        </w:rPr>
        <w:t>Cut-Off Grade or Value</w:t>
      </w:r>
      <w:bookmarkEnd w:id="31"/>
    </w:p>
    <w:p w14:paraId="0DAAA0B6" w14:textId="48130527" w:rsidR="00640418" w:rsidRDefault="00640418" w:rsidP="00640418">
      <w:pPr>
        <w:ind w:left="1077"/>
        <w:jc w:val="both"/>
      </w:pPr>
      <w:r w:rsidRPr="00465A14">
        <w:t xml:space="preserve">Development of the cut-off grade is an iterative process between the Practitioner and mine planning group and is typically determined based on advanced studies by mine engineers, financial analysts, and others. The MRMR Practitioner must first provide an initial estimate of the number, location, and design or the proposed wells to be factored into the overall </w:t>
      </w:r>
      <w:proofErr w:type="gramStart"/>
      <w:r w:rsidRPr="00465A14">
        <w:t>mine</w:t>
      </w:r>
      <w:proofErr w:type="gramEnd"/>
      <w:r w:rsidRPr="00465A14">
        <w:t xml:space="preserve"> costs. Projected commodity prices over the mine life are considered when determining the minimum threshold where mining is no longer economic (i.e., the break-even cut-off grade). Note that cut-off grades or values may need to be applied to individual wells as well as to the overall project.</w:t>
      </w:r>
    </w:p>
    <w:p w14:paraId="3734EDFA" w14:textId="77777777" w:rsidR="001857E2" w:rsidRPr="00465A14" w:rsidRDefault="001857E2" w:rsidP="00640418">
      <w:pPr>
        <w:ind w:left="1077"/>
        <w:jc w:val="both"/>
      </w:pPr>
    </w:p>
    <w:p w14:paraId="4A5AA519" w14:textId="14289E76" w:rsidR="001857E2" w:rsidRDefault="001857E2" w:rsidP="001857E2">
      <w:pPr>
        <w:pStyle w:val="Heading2"/>
        <w:ind w:left="360" w:firstLine="0"/>
        <w:jc w:val="both"/>
        <w:rPr>
          <w:color w:val="365F91" w:themeColor="accent1" w:themeShade="BF"/>
          <w:lang w:val="en-US"/>
        </w:rPr>
      </w:pPr>
      <w:bookmarkStart w:id="32" w:name="_Toc212629276"/>
      <w:r>
        <w:rPr>
          <w:rFonts w:ascii="Times New Roman" w:hAnsi="Times New Roman" w:cs="Times New Roman"/>
          <w:color w:val="365F91" w:themeColor="accent1" w:themeShade="BF"/>
        </w:rPr>
        <w:t>6</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2</w:t>
      </w:r>
      <w:r w:rsidRPr="00C65688">
        <w:rPr>
          <w:rFonts w:ascii="Times New Roman" w:hAnsi="Times New Roman" w:cs="Times New Roman"/>
          <w:color w:val="365F91" w:themeColor="accent1" w:themeShade="BF"/>
        </w:rPr>
        <w:t xml:space="preserve">.   </w:t>
      </w:r>
      <w:r w:rsidR="003E18A1" w:rsidRPr="00F5660F">
        <w:rPr>
          <w:color w:val="365F91" w:themeColor="accent1" w:themeShade="BF"/>
          <w:lang w:val="en-US"/>
        </w:rPr>
        <w:t>Numerical Modelling</w:t>
      </w:r>
      <w:bookmarkEnd w:id="32"/>
    </w:p>
    <w:p w14:paraId="788CB27E" w14:textId="52837F3B" w:rsidR="00E94446" w:rsidRPr="00465A14" w:rsidRDefault="00E94446" w:rsidP="00E94446">
      <w:pPr>
        <w:ind w:left="1077"/>
        <w:jc w:val="both"/>
      </w:pPr>
      <w:r w:rsidRPr="00465A14">
        <w:t xml:space="preserve">Calibrated flow and solute transport models are recommended for reserve estimation. The </w:t>
      </w:r>
      <w:r w:rsidR="008A4709" w:rsidRPr="00465A14">
        <w:t>modelling</w:t>
      </w:r>
      <w:r w:rsidRPr="00465A14">
        <w:t xml:space="preserve"> should also include simulation of the extraction system to demonstrate that production over the mine life will be feasible and that the project is economic. Numerical simulations should be supported by water balance calculations for the hydrologic system which hosts the BH-Li deposit.</w:t>
      </w:r>
    </w:p>
    <w:p w14:paraId="48A874D3" w14:textId="77777777" w:rsidR="00E94446" w:rsidRPr="00465A14" w:rsidRDefault="00E94446" w:rsidP="00E94446">
      <w:pPr>
        <w:ind w:left="1077"/>
        <w:jc w:val="both"/>
      </w:pPr>
    </w:p>
    <w:p w14:paraId="01968F9C" w14:textId="77777777" w:rsidR="00E94446" w:rsidRPr="00465A14" w:rsidRDefault="00E94446" w:rsidP="00E94446">
      <w:pPr>
        <w:ind w:left="1077"/>
        <w:jc w:val="both"/>
      </w:pPr>
      <w:r w:rsidRPr="00465A14">
        <w:t>The numerical model used for BH-Li reserve estimation should be capable of simulating and predicting:</w:t>
      </w:r>
    </w:p>
    <w:p w14:paraId="080FF5B1" w14:textId="77777777" w:rsidR="00E94446" w:rsidRPr="00465A14" w:rsidRDefault="00E94446" w:rsidP="00E94446">
      <w:pPr>
        <w:pStyle w:val="ListParagraph"/>
        <w:widowControl/>
        <w:numPr>
          <w:ilvl w:val="0"/>
          <w:numId w:val="30"/>
        </w:numPr>
        <w:ind w:left="1797" w:hanging="357"/>
        <w:contextualSpacing/>
        <w:jc w:val="both"/>
      </w:pPr>
      <w:r w:rsidRPr="00465A14">
        <w:t xml:space="preserve">fluid flows, including density driven </w:t>
      </w:r>
      <w:proofErr w:type="gramStart"/>
      <w:r w:rsidRPr="00465A14">
        <w:t>flow;</w:t>
      </w:r>
      <w:proofErr w:type="gramEnd"/>
      <w:r w:rsidRPr="00465A14">
        <w:t xml:space="preserve"> </w:t>
      </w:r>
    </w:p>
    <w:p w14:paraId="67514C9C" w14:textId="77777777" w:rsidR="00E94446" w:rsidRPr="00465A14" w:rsidRDefault="00E94446" w:rsidP="00E94446">
      <w:pPr>
        <w:pStyle w:val="ListParagraph"/>
        <w:widowControl/>
        <w:numPr>
          <w:ilvl w:val="0"/>
          <w:numId w:val="30"/>
        </w:numPr>
        <w:ind w:left="1797" w:hanging="357"/>
        <w:contextualSpacing/>
        <w:jc w:val="both"/>
      </w:pPr>
      <w:r w:rsidRPr="00465A14">
        <w:t xml:space="preserve">changes in brine chemistry over time including the effects of brine reinjection if </w:t>
      </w:r>
      <w:proofErr w:type="gramStart"/>
      <w:r w:rsidRPr="00465A14">
        <w:t>present;</w:t>
      </w:r>
      <w:proofErr w:type="gramEnd"/>
      <w:r w:rsidRPr="00465A14">
        <w:t xml:space="preserve"> </w:t>
      </w:r>
    </w:p>
    <w:p w14:paraId="34F4E2B0" w14:textId="77777777" w:rsidR="00E94446" w:rsidRPr="00465A14" w:rsidRDefault="00E94446" w:rsidP="00E94446">
      <w:pPr>
        <w:pStyle w:val="ListParagraph"/>
        <w:widowControl/>
        <w:numPr>
          <w:ilvl w:val="0"/>
          <w:numId w:val="30"/>
        </w:numPr>
        <w:ind w:left="1797" w:hanging="357"/>
        <w:contextualSpacing/>
        <w:jc w:val="both"/>
      </w:pPr>
      <w:r w:rsidRPr="00465A14">
        <w:t xml:space="preserve">fluid level drawdown and/or pressure </w:t>
      </w:r>
      <w:proofErr w:type="gramStart"/>
      <w:r w:rsidRPr="00465A14">
        <w:t>changes;</w:t>
      </w:r>
      <w:proofErr w:type="gramEnd"/>
      <w:r w:rsidRPr="00465A14">
        <w:t xml:space="preserve"> </w:t>
      </w:r>
    </w:p>
    <w:p w14:paraId="31A94C36" w14:textId="77777777" w:rsidR="00E94446" w:rsidRPr="00465A14" w:rsidRDefault="00E94446" w:rsidP="00E94446">
      <w:pPr>
        <w:pStyle w:val="ListParagraph"/>
        <w:widowControl/>
        <w:numPr>
          <w:ilvl w:val="0"/>
          <w:numId w:val="30"/>
        </w:numPr>
        <w:ind w:left="1797" w:hanging="357"/>
        <w:contextualSpacing/>
        <w:jc w:val="both"/>
      </w:pPr>
      <w:r w:rsidRPr="00465A14">
        <w:t xml:space="preserve">temperature </w:t>
      </w:r>
      <w:proofErr w:type="gramStart"/>
      <w:r w:rsidRPr="00465A14">
        <w:t>changes;</w:t>
      </w:r>
      <w:proofErr w:type="gramEnd"/>
    </w:p>
    <w:p w14:paraId="46DD7807" w14:textId="77777777" w:rsidR="00E94446" w:rsidRPr="00465A14" w:rsidRDefault="00E94446" w:rsidP="00E94446">
      <w:pPr>
        <w:pStyle w:val="ListParagraph"/>
        <w:widowControl/>
        <w:numPr>
          <w:ilvl w:val="0"/>
          <w:numId w:val="30"/>
        </w:numPr>
        <w:ind w:left="1797" w:hanging="357"/>
        <w:contextualSpacing/>
        <w:jc w:val="both"/>
      </w:pPr>
      <w:r w:rsidRPr="00465A14">
        <w:t xml:space="preserve">extraction of brine, lithium and other relevant solutes over time; and </w:t>
      </w:r>
    </w:p>
    <w:p w14:paraId="3952782A" w14:textId="77777777" w:rsidR="00E94446" w:rsidRPr="00465A14" w:rsidRDefault="00E94446" w:rsidP="00E94446">
      <w:pPr>
        <w:pStyle w:val="ListParagraph"/>
        <w:widowControl/>
        <w:numPr>
          <w:ilvl w:val="0"/>
          <w:numId w:val="30"/>
        </w:numPr>
        <w:ind w:left="1797" w:hanging="357"/>
        <w:contextualSpacing/>
        <w:jc w:val="both"/>
      </w:pPr>
      <w:r w:rsidRPr="00465A14">
        <w:t>fluid and lithium mass balance changes.</w:t>
      </w:r>
    </w:p>
    <w:p w14:paraId="2BD8B202" w14:textId="77777777" w:rsidR="00E94446" w:rsidRPr="00465A14" w:rsidRDefault="00E94446" w:rsidP="00E94446">
      <w:pPr>
        <w:ind w:left="1077"/>
        <w:jc w:val="both"/>
      </w:pPr>
    </w:p>
    <w:p w14:paraId="3331CCE5" w14:textId="77777777" w:rsidR="00E94446" w:rsidRDefault="00E94446" w:rsidP="00E94446">
      <w:pPr>
        <w:ind w:left="1077"/>
        <w:jc w:val="both"/>
      </w:pPr>
      <w:r w:rsidRPr="00465A14">
        <w:t xml:space="preserve">The model software, setup, calibration and wellfield simulation should be described in the BH-Li technical report.  </w:t>
      </w:r>
    </w:p>
    <w:p w14:paraId="5677AEE3" w14:textId="77777777" w:rsidR="006E061D" w:rsidRPr="00465A14" w:rsidRDefault="006E061D" w:rsidP="00E94446">
      <w:pPr>
        <w:ind w:left="1077"/>
        <w:jc w:val="both"/>
      </w:pPr>
    </w:p>
    <w:p w14:paraId="4F299A18" w14:textId="6BA85F23" w:rsidR="006E061D" w:rsidRDefault="006E061D" w:rsidP="006E061D">
      <w:pPr>
        <w:pStyle w:val="Heading2"/>
        <w:ind w:left="360" w:firstLine="0"/>
        <w:jc w:val="both"/>
        <w:rPr>
          <w:color w:val="365F91" w:themeColor="accent1" w:themeShade="BF"/>
          <w:lang w:val="en-US"/>
        </w:rPr>
      </w:pPr>
      <w:bookmarkStart w:id="33" w:name="_Toc212629277"/>
      <w:r>
        <w:rPr>
          <w:rFonts w:ascii="Times New Roman" w:hAnsi="Times New Roman" w:cs="Times New Roman"/>
          <w:color w:val="365F91" w:themeColor="accent1" w:themeShade="BF"/>
        </w:rPr>
        <w:t>6</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3</w:t>
      </w:r>
      <w:r w:rsidRPr="00C65688">
        <w:rPr>
          <w:rFonts w:ascii="Times New Roman" w:hAnsi="Times New Roman" w:cs="Times New Roman"/>
          <w:color w:val="365F91" w:themeColor="accent1" w:themeShade="BF"/>
        </w:rPr>
        <w:t xml:space="preserve">.   </w:t>
      </w:r>
      <w:r w:rsidR="00277E11" w:rsidRPr="00277E11">
        <w:rPr>
          <w:color w:val="365F91" w:themeColor="accent1" w:themeShade="BF"/>
          <w:lang w:val="en-US"/>
        </w:rPr>
        <w:t>Modifying Factors</w:t>
      </w:r>
      <w:bookmarkEnd w:id="33"/>
    </w:p>
    <w:p w14:paraId="434A0AEF" w14:textId="77777777" w:rsidR="00221815" w:rsidRDefault="00221815" w:rsidP="00221815">
      <w:pPr>
        <w:ind w:left="1077"/>
        <w:jc w:val="both"/>
      </w:pPr>
      <w:r>
        <w:t xml:space="preserve">Modifying factors used to convert mineral resources to mineral reserves include, but are not restricted to, mining, processing, metallurgical, infrastructure, economic, marketing, legal, environmental, social and governmental factors.  </w:t>
      </w:r>
    </w:p>
    <w:p w14:paraId="0A92543C" w14:textId="77777777" w:rsidR="00221815" w:rsidRDefault="00221815" w:rsidP="00221815">
      <w:pPr>
        <w:ind w:left="1077"/>
        <w:jc w:val="both"/>
      </w:pPr>
    </w:p>
    <w:p w14:paraId="2AB63A5F" w14:textId="77777777" w:rsidR="00221815" w:rsidRPr="00465A14" w:rsidRDefault="00221815" w:rsidP="00221815">
      <w:pPr>
        <w:ind w:left="1077"/>
        <w:jc w:val="both"/>
      </w:pPr>
      <w:r>
        <w:t>Additional m</w:t>
      </w:r>
      <w:r w:rsidRPr="00465A14">
        <w:t xml:space="preserve">odifying factors specific to </w:t>
      </w:r>
      <w:r>
        <w:t>lithium brines</w:t>
      </w:r>
      <w:r w:rsidRPr="00465A14">
        <w:t xml:space="preserve"> include, but are not limited to, the following:  </w:t>
      </w:r>
    </w:p>
    <w:p w14:paraId="2BEA074F" w14:textId="77777777" w:rsidR="00221815" w:rsidRPr="00465A14" w:rsidRDefault="00221815" w:rsidP="0024169E">
      <w:pPr>
        <w:pStyle w:val="ListParagraph"/>
        <w:widowControl/>
        <w:numPr>
          <w:ilvl w:val="0"/>
          <w:numId w:val="32"/>
        </w:numPr>
        <w:contextualSpacing/>
        <w:jc w:val="both"/>
      </w:pPr>
      <w:r w:rsidRPr="00465A14">
        <w:t xml:space="preserve">Dilution and mixing of freshwater entering the brine aquifer </w:t>
      </w:r>
      <w:proofErr w:type="gramStart"/>
      <w:r w:rsidRPr="00465A14">
        <w:t>system;</w:t>
      </w:r>
      <w:proofErr w:type="gramEnd"/>
      <w:r w:rsidRPr="00465A14">
        <w:t xml:space="preserve"> </w:t>
      </w:r>
    </w:p>
    <w:p w14:paraId="4C272F66" w14:textId="77777777" w:rsidR="00221815" w:rsidRPr="00465A14" w:rsidRDefault="00221815" w:rsidP="0024169E">
      <w:pPr>
        <w:pStyle w:val="ListParagraph"/>
        <w:widowControl/>
        <w:numPr>
          <w:ilvl w:val="0"/>
          <w:numId w:val="32"/>
        </w:numPr>
        <w:contextualSpacing/>
        <w:jc w:val="both"/>
      </w:pPr>
      <w:r w:rsidRPr="00465A14">
        <w:t xml:space="preserve">Wellfield optimization for both increased production and/or mitigation of potential impacts to surface water systems that may be supporting environmentally sensitive </w:t>
      </w:r>
      <w:proofErr w:type="gramStart"/>
      <w:r w:rsidRPr="00465A14">
        <w:t>areas;</w:t>
      </w:r>
      <w:proofErr w:type="gramEnd"/>
      <w:r w:rsidRPr="00465A14">
        <w:t xml:space="preserve"> </w:t>
      </w:r>
    </w:p>
    <w:p w14:paraId="165243C2" w14:textId="77777777" w:rsidR="00221815" w:rsidRPr="00465A14" w:rsidRDefault="00221815" w:rsidP="0024169E">
      <w:pPr>
        <w:pStyle w:val="ListParagraph"/>
        <w:widowControl/>
        <w:numPr>
          <w:ilvl w:val="0"/>
          <w:numId w:val="32"/>
        </w:numPr>
        <w:contextualSpacing/>
        <w:jc w:val="both"/>
      </w:pPr>
      <w:r w:rsidRPr="00465A14">
        <w:t xml:space="preserve">Production well inefficiencies: additional attention/costs that may be incurred due to brine pumping and increased corrosion/scaling </w:t>
      </w:r>
      <w:proofErr w:type="gramStart"/>
      <w:r w:rsidRPr="00465A14">
        <w:t>potential;</w:t>
      </w:r>
      <w:proofErr w:type="gramEnd"/>
      <w:r w:rsidRPr="00465A14">
        <w:t xml:space="preserve"> </w:t>
      </w:r>
    </w:p>
    <w:p w14:paraId="6CFE2BEF" w14:textId="5BEE5307" w:rsidR="00221815" w:rsidRPr="00465A14" w:rsidRDefault="0024169E" w:rsidP="0024169E">
      <w:pPr>
        <w:pStyle w:val="ListParagraph"/>
        <w:widowControl/>
        <w:numPr>
          <w:ilvl w:val="0"/>
          <w:numId w:val="32"/>
        </w:numPr>
        <w:contextualSpacing/>
        <w:jc w:val="both"/>
      </w:pPr>
      <w:r w:rsidRPr="00465A14">
        <w:t>Neighbouring</w:t>
      </w:r>
      <w:r w:rsidR="00221815" w:rsidRPr="00465A14">
        <w:t xml:space="preserve"> pumping from other </w:t>
      </w:r>
      <w:proofErr w:type="gramStart"/>
      <w:r w:rsidR="00221815" w:rsidRPr="00465A14">
        <w:t>operators;</w:t>
      </w:r>
      <w:proofErr w:type="gramEnd"/>
    </w:p>
    <w:p w14:paraId="6DE87472" w14:textId="77777777" w:rsidR="00221815" w:rsidRPr="00465A14" w:rsidRDefault="00221815" w:rsidP="0024169E">
      <w:pPr>
        <w:pStyle w:val="ListParagraph"/>
        <w:widowControl/>
        <w:numPr>
          <w:ilvl w:val="0"/>
          <w:numId w:val="32"/>
        </w:numPr>
        <w:contextualSpacing/>
        <w:jc w:val="both"/>
      </w:pPr>
      <w:r w:rsidRPr="00465A14">
        <w:t xml:space="preserve">Unique permitting/legislation associated with lithium brine </w:t>
      </w:r>
      <w:proofErr w:type="gramStart"/>
      <w:r w:rsidRPr="00465A14">
        <w:t>extraction;</w:t>
      </w:r>
      <w:proofErr w:type="gramEnd"/>
    </w:p>
    <w:p w14:paraId="09C826BD" w14:textId="77777777" w:rsidR="00221815" w:rsidRPr="00465A14" w:rsidRDefault="00221815" w:rsidP="0024169E">
      <w:pPr>
        <w:pStyle w:val="ListParagraph"/>
        <w:widowControl/>
        <w:numPr>
          <w:ilvl w:val="0"/>
          <w:numId w:val="32"/>
        </w:numPr>
        <w:contextualSpacing/>
        <w:jc w:val="both"/>
      </w:pPr>
      <w:r w:rsidRPr="00465A14">
        <w:t xml:space="preserve">Processing inefficiencies, or losses of mass from the wellheads to generation of </w:t>
      </w:r>
      <w:proofErr w:type="gramStart"/>
      <w:r w:rsidRPr="00465A14">
        <w:t>product;</w:t>
      </w:r>
      <w:proofErr w:type="gramEnd"/>
    </w:p>
    <w:p w14:paraId="5E82D4BC" w14:textId="77777777" w:rsidR="00221815" w:rsidRPr="00465A14" w:rsidRDefault="00221815" w:rsidP="0024169E">
      <w:pPr>
        <w:pStyle w:val="ListParagraph"/>
        <w:widowControl/>
        <w:numPr>
          <w:ilvl w:val="0"/>
          <w:numId w:val="32"/>
        </w:numPr>
        <w:contextualSpacing/>
        <w:jc w:val="both"/>
      </w:pPr>
      <w:r w:rsidRPr="00465A14">
        <w:t xml:space="preserve">Reinjection of spent brine and its potential effect on wellfield operation and production. </w:t>
      </w:r>
    </w:p>
    <w:p w14:paraId="3755646B" w14:textId="77777777" w:rsidR="0024169E" w:rsidRDefault="0024169E" w:rsidP="00221815">
      <w:pPr>
        <w:ind w:left="1077"/>
        <w:jc w:val="both"/>
      </w:pPr>
    </w:p>
    <w:p w14:paraId="10F9C823" w14:textId="09E72371" w:rsidR="003E18A1" w:rsidRDefault="00221815" w:rsidP="007C09DC">
      <w:pPr>
        <w:ind w:left="1077"/>
        <w:jc w:val="both"/>
      </w:pPr>
      <w:r w:rsidRPr="00465A14">
        <w:lastRenderedPageBreak/>
        <w:t>Practitioners should consider uncertainties related to the numerical model, and that recalibration of the flow and solute transport model is required over time with additional data (e.g., extracted mass during production) to increase confidence in the simulated projections.</w:t>
      </w:r>
    </w:p>
    <w:p w14:paraId="6336E23B" w14:textId="77777777" w:rsidR="007C09DC" w:rsidRPr="007C09DC" w:rsidRDefault="007C09DC" w:rsidP="007C09DC">
      <w:pPr>
        <w:ind w:left="1077"/>
        <w:jc w:val="both"/>
      </w:pPr>
    </w:p>
    <w:p w14:paraId="4A59AA0D" w14:textId="4FC97412" w:rsidR="00446061" w:rsidRDefault="00446061" w:rsidP="00446061">
      <w:pPr>
        <w:pStyle w:val="Heading2"/>
        <w:ind w:left="360" w:firstLine="0"/>
        <w:jc w:val="both"/>
        <w:rPr>
          <w:color w:val="365F91" w:themeColor="accent1" w:themeShade="BF"/>
          <w:lang w:val="en-US"/>
        </w:rPr>
      </w:pPr>
      <w:bookmarkStart w:id="34" w:name="_Toc212629278"/>
      <w:r>
        <w:rPr>
          <w:rFonts w:ascii="Times New Roman" w:hAnsi="Times New Roman" w:cs="Times New Roman"/>
          <w:color w:val="365F91" w:themeColor="accent1" w:themeShade="BF"/>
        </w:rPr>
        <w:t>6</w:t>
      </w:r>
      <w:r w:rsidRPr="00C65688">
        <w:rPr>
          <w:rFonts w:ascii="Times New Roman" w:hAnsi="Times New Roman" w:cs="Times New Roman"/>
          <w:color w:val="365F91" w:themeColor="accent1" w:themeShade="BF"/>
        </w:rPr>
        <w:t>.</w:t>
      </w:r>
      <w:r>
        <w:rPr>
          <w:rFonts w:ascii="Times New Roman" w:hAnsi="Times New Roman" w:cs="Times New Roman"/>
          <w:color w:val="365F91" w:themeColor="accent1" w:themeShade="BF"/>
        </w:rPr>
        <w:t>4</w:t>
      </w:r>
      <w:r w:rsidRPr="00C65688">
        <w:rPr>
          <w:rFonts w:ascii="Times New Roman" w:hAnsi="Times New Roman" w:cs="Times New Roman"/>
          <w:color w:val="365F91" w:themeColor="accent1" w:themeShade="BF"/>
        </w:rPr>
        <w:t xml:space="preserve">.   </w:t>
      </w:r>
      <w:r w:rsidR="009B5E4E" w:rsidRPr="009B5E4E">
        <w:rPr>
          <w:color w:val="365F91" w:themeColor="accent1" w:themeShade="BF"/>
          <w:lang w:val="en-US"/>
        </w:rPr>
        <w:t>Mineral Reserve Statements</w:t>
      </w:r>
      <w:bookmarkEnd w:id="34"/>
    </w:p>
    <w:p w14:paraId="3A0D2E6D" w14:textId="77777777" w:rsidR="0067743A" w:rsidRPr="00465A14" w:rsidRDefault="0067743A" w:rsidP="00BD18AD">
      <w:pPr>
        <w:ind w:left="1077"/>
        <w:jc w:val="both"/>
      </w:pPr>
      <w:r w:rsidRPr="00465A14">
        <w:t xml:space="preserve">Specific to BH-Li, the mineral reserve statement should consider: </w:t>
      </w:r>
    </w:p>
    <w:p w14:paraId="26BADFE5" w14:textId="77777777" w:rsidR="0067743A" w:rsidRPr="00465A14" w:rsidRDefault="0067743A" w:rsidP="00BD18AD">
      <w:pPr>
        <w:pStyle w:val="ListParagraph"/>
        <w:widowControl/>
        <w:numPr>
          <w:ilvl w:val="0"/>
          <w:numId w:val="34"/>
        </w:numPr>
        <w:contextualSpacing/>
        <w:jc w:val="both"/>
      </w:pPr>
      <w:r w:rsidRPr="00465A14">
        <w:t xml:space="preserve">Extraction of lithium from the deposit, including time-based decline if </w:t>
      </w:r>
      <w:proofErr w:type="gramStart"/>
      <w:r w:rsidRPr="00465A14">
        <w:t>applicable;</w:t>
      </w:r>
      <w:proofErr w:type="gramEnd"/>
      <w:r w:rsidRPr="00465A14">
        <w:t xml:space="preserve"> </w:t>
      </w:r>
    </w:p>
    <w:p w14:paraId="6A2C14ED" w14:textId="77777777" w:rsidR="0067743A" w:rsidRPr="00465A14" w:rsidRDefault="0067743A" w:rsidP="00BD18AD">
      <w:pPr>
        <w:pStyle w:val="ListParagraph"/>
        <w:widowControl/>
        <w:numPr>
          <w:ilvl w:val="0"/>
          <w:numId w:val="34"/>
        </w:numPr>
        <w:contextualSpacing/>
        <w:jc w:val="both"/>
      </w:pPr>
      <w:r w:rsidRPr="00465A14">
        <w:t xml:space="preserve">Recovery efficiency of lithium through the selected processing </w:t>
      </w:r>
      <w:proofErr w:type="gramStart"/>
      <w:r w:rsidRPr="00465A14">
        <w:t>method;</w:t>
      </w:r>
      <w:proofErr w:type="gramEnd"/>
      <w:r w:rsidRPr="00465A14">
        <w:t xml:space="preserve"> </w:t>
      </w:r>
    </w:p>
    <w:p w14:paraId="382BC5E7" w14:textId="77777777" w:rsidR="0067743A" w:rsidRPr="00465A14" w:rsidRDefault="0067743A" w:rsidP="00BD18AD">
      <w:pPr>
        <w:pStyle w:val="ListParagraph"/>
        <w:widowControl/>
        <w:numPr>
          <w:ilvl w:val="0"/>
          <w:numId w:val="34"/>
        </w:numPr>
        <w:contextualSpacing/>
        <w:jc w:val="both"/>
      </w:pPr>
      <w:r w:rsidRPr="00465A14">
        <w:t xml:space="preserve">Recovery or impact of other constituents, whether valuable or </w:t>
      </w:r>
      <w:proofErr w:type="gramStart"/>
      <w:r w:rsidRPr="00465A14">
        <w:t>deleterious;</w:t>
      </w:r>
      <w:proofErr w:type="gramEnd"/>
      <w:r w:rsidRPr="00465A14">
        <w:t xml:space="preserve">  </w:t>
      </w:r>
    </w:p>
    <w:p w14:paraId="025407C9" w14:textId="77777777" w:rsidR="0067743A" w:rsidRPr="00465A14" w:rsidRDefault="0067743A" w:rsidP="00BD18AD">
      <w:pPr>
        <w:pStyle w:val="ListParagraph"/>
        <w:widowControl/>
        <w:numPr>
          <w:ilvl w:val="0"/>
          <w:numId w:val="34"/>
        </w:numPr>
        <w:contextualSpacing/>
        <w:jc w:val="both"/>
      </w:pPr>
      <w:r w:rsidRPr="00465A14">
        <w:t>Clear description of the cut-off grade and supporting elements (capital and operating costs estimates; pricing forecasts; escalation).</w:t>
      </w:r>
    </w:p>
    <w:p w14:paraId="6CBB6DD4" w14:textId="77777777" w:rsidR="0067743A" w:rsidRPr="00465A14" w:rsidRDefault="0067743A" w:rsidP="00BD18AD">
      <w:pPr>
        <w:ind w:hanging="220"/>
        <w:jc w:val="both"/>
      </w:pPr>
    </w:p>
    <w:p w14:paraId="6D71469E" w14:textId="77777777" w:rsidR="0067743A" w:rsidRPr="00465A14" w:rsidRDefault="0067743A" w:rsidP="00BD18AD">
      <w:pPr>
        <w:ind w:left="1077"/>
        <w:jc w:val="both"/>
      </w:pPr>
      <w:r w:rsidRPr="00465A14">
        <w:t>BH-Li reserve estimates are typically reported to include the following elements as predicted by the calibrated numerical flow and solute model:</w:t>
      </w:r>
    </w:p>
    <w:p w14:paraId="2DAEFBD5" w14:textId="77777777" w:rsidR="0067743A" w:rsidRPr="00465A14" w:rsidRDefault="0067743A" w:rsidP="00BD18AD">
      <w:pPr>
        <w:pStyle w:val="ListParagraph"/>
        <w:widowControl/>
        <w:numPr>
          <w:ilvl w:val="0"/>
          <w:numId w:val="35"/>
        </w:numPr>
        <w:contextualSpacing/>
        <w:jc w:val="both"/>
      </w:pPr>
      <w:r w:rsidRPr="00465A14">
        <w:t xml:space="preserve">Time period of pumping associated with the Proven and Probable </w:t>
      </w:r>
      <w:proofErr w:type="gramStart"/>
      <w:r w:rsidRPr="00465A14">
        <w:t>Reserves;</w:t>
      </w:r>
      <w:proofErr w:type="gramEnd"/>
    </w:p>
    <w:p w14:paraId="2CFFEB87" w14:textId="77777777" w:rsidR="0067743A" w:rsidRPr="00465A14" w:rsidRDefault="0067743A" w:rsidP="00BD18AD">
      <w:pPr>
        <w:pStyle w:val="ListParagraph"/>
        <w:widowControl/>
        <w:numPr>
          <w:ilvl w:val="0"/>
          <w:numId w:val="35"/>
        </w:numPr>
        <w:contextualSpacing/>
        <w:jc w:val="both"/>
      </w:pPr>
      <w:r w:rsidRPr="00465A14">
        <w:t xml:space="preserve">Total brine volume pumped for the reserve time </w:t>
      </w:r>
      <w:proofErr w:type="gramStart"/>
      <w:r w:rsidRPr="00465A14">
        <w:t>periods;</w:t>
      </w:r>
      <w:proofErr w:type="gramEnd"/>
    </w:p>
    <w:p w14:paraId="70FB6904" w14:textId="77777777" w:rsidR="0067743A" w:rsidRPr="00465A14" w:rsidRDefault="0067743A" w:rsidP="00BD18AD">
      <w:pPr>
        <w:pStyle w:val="ListParagraph"/>
        <w:widowControl/>
        <w:numPr>
          <w:ilvl w:val="0"/>
          <w:numId w:val="35"/>
        </w:numPr>
        <w:contextualSpacing/>
        <w:jc w:val="both"/>
      </w:pPr>
      <w:r w:rsidRPr="00465A14">
        <w:t xml:space="preserve">Average grade for the reserve </w:t>
      </w:r>
      <w:proofErr w:type="gramStart"/>
      <w:r w:rsidRPr="00465A14">
        <w:t>categories;</w:t>
      </w:r>
      <w:proofErr w:type="gramEnd"/>
    </w:p>
    <w:p w14:paraId="77F8A986" w14:textId="77777777" w:rsidR="0067743A" w:rsidRPr="00465A14" w:rsidRDefault="0067743A" w:rsidP="00BD18AD">
      <w:pPr>
        <w:pStyle w:val="ListParagraph"/>
        <w:widowControl/>
        <w:numPr>
          <w:ilvl w:val="0"/>
          <w:numId w:val="35"/>
        </w:numPr>
        <w:contextualSpacing/>
        <w:jc w:val="both"/>
      </w:pPr>
      <w:r w:rsidRPr="00465A14">
        <w:t xml:space="preserve">Amount of contained metal included in the reserve </w:t>
      </w:r>
      <w:proofErr w:type="gramStart"/>
      <w:r w:rsidRPr="00465A14">
        <w:t>categories;</w:t>
      </w:r>
      <w:proofErr w:type="gramEnd"/>
    </w:p>
    <w:p w14:paraId="198C6940" w14:textId="77777777" w:rsidR="0067743A" w:rsidRPr="00465A14" w:rsidRDefault="0067743A" w:rsidP="00BD18AD">
      <w:pPr>
        <w:pStyle w:val="ListParagraph"/>
        <w:widowControl/>
        <w:numPr>
          <w:ilvl w:val="0"/>
          <w:numId w:val="35"/>
        </w:numPr>
        <w:contextualSpacing/>
        <w:jc w:val="both"/>
      </w:pPr>
      <w:r w:rsidRPr="00465A14">
        <w:t>Metal equivalents (e.g., lithium carbonate equivalent for lithium) and the conversion factor used for the calculation.</w:t>
      </w:r>
    </w:p>
    <w:p w14:paraId="3AAE818F" w14:textId="77777777" w:rsidR="0067743A" w:rsidRPr="00465A14" w:rsidRDefault="0067743A" w:rsidP="00BD18AD">
      <w:pPr>
        <w:ind w:left="1077"/>
        <w:jc w:val="both"/>
      </w:pPr>
    </w:p>
    <w:p w14:paraId="4B5AAEA9" w14:textId="1951E67C" w:rsidR="00956D0B" w:rsidRDefault="0067743A" w:rsidP="00BD18AD">
      <w:pPr>
        <w:ind w:left="1077"/>
        <w:jc w:val="both"/>
      </w:pPr>
      <w:r w:rsidRPr="00465A14">
        <w:t>The estimate values must clearly indicate the point of reference of the reserve estimate (</w:t>
      </w:r>
      <w:r>
        <w:t>Table 5</w:t>
      </w:r>
      <w:r w:rsidRPr="00465A14">
        <w:t>).</w:t>
      </w:r>
      <w:r>
        <w:t xml:space="preserve"> As with brine resource estimates, it is recommended that the reference point be the point of sale.</w:t>
      </w:r>
      <w:r w:rsidRPr="00465A14">
        <w:t xml:space="preserve"> Processing inefficiencies result in a loss of mass and are a key modifying factor, it is recommended to report brine reserves with the corresponding processing efficiency.</w:t>
      </w:r>
    </w:p>
    <w:p w14:paraId="41775057" w14:textId="21BD61EF" w:rsidR="00576E21" w:rsidRPr="00740E5E" w:rsidRDefault="00956D0B" w:rsidP="00956D0B">
      <w:r>
        <w:br w:type="page"/>
      </w:r>
    </w:p>
    <w:p w14:paraId="1CEDCC47" w14:textId="1FF9E314" w:rsidR="00740E5E" w:rsidRDefault="00740E5E" w:rsidP="00740E5E">
      <w:pPr>
        <w:pStyle w:val="Heading1"/>
        <w:rPr>
          <w:rFonts w:ascii="Times New Roman" w:eastAsia="Times New Roman" w:hAnsi="Times New Roman" w:cs="Times New Roman"/>
          <w:color w:val="365F91" w:themeColor="accent1" w:themeShade="BF"/>
        </w:rPr>
      </w:pPr>
      <w:bookmarkStart w:id="35" w:name="_Toc212629279"/>
      <w:r>
        <w:rPr>
          <w:rFonts w:ascii="Times New Roman" w:eastAsia="Times New Roman" w:hAnsi="Times New Roman" w:cs="Times New Roman"/>
          <w:color w:val="365F91" w:themeColor="accent1" w:themeShade="BF"/>
        </w:rPr>
        <w:lastRenderedPageBreak/>
        <w:t>7</w:t>
      </w:r>
      <w:r w:rsidRPr="00C65688">
        <w:rPr>
          <w:rFonts w:ascii="Times New Roman" w:eastAsia="Times New Roman" w:hAnsi="Times New Roman" w:cs="Times New Roman"/>
          <w:color w:val="365F91" w:themeColor="accent1" w:themeShade="BF"/>
        </w:rPr>
        <w:t>.</w:t>
      </w:r>
      <w:r w:rsidRPr="00C65688">
        <w:rPr>
          <w:rFonts w:ascii="Times New Roman" w:eastAsia="Times New Roman" w:hAnsi="Times New Roman" w:cs="Times New Roman"/>
          <w:color w:val="365F91" w:themeColor="accent1" w:themeShade="BF"/>
        </w:rPr>
        <w:tab/>
      </w:r>
      <w:r>
        <w:rPr>
          <w:rFonts w:ascii="Times New Roman" w:eastAsia="Times New Roman" w:hAnsi="Times New Roman" w:cs="Times New Roman"/>
          <w:color w:val="365F91" w:themeColor="accent1" w:themeShade="BF"/>
        </w:rPr>
        <w:t>Conclusions</w:t>
      </w:r>
      <w:bookmarkEnd w:id="35"/>
    </w:p>
    <w:p w14:paraId="490684B0" w14:textId="3039F49C" w:rsidR="00BD18AD" w:rsidRDefault="00BD18AD" w:rsidP="00BD18AD">
      <w:r w:rsidRPr="00465A14">
        <w:t xml:space="preserve">Special considerations required from BH-Li deposits are summarised in </w:t>
      </w:r>
      <w:r w:rsidRPr="00465A14">
        <w:fldChar w:fldCharType="begin"/>
      </w:r>
      <w:r w:rsidRPr="00465A14">
        <w:instrText xml:space="preserve"> REF _Ref188630061 \h </w:instrText>
      </w:r>
      <w:r w:rsidRPr="00465A14">
        <w:fldChar w:fldCharType="separate"/>
      </w:r>
      <w:r w:rsidRPr="00465A14">
        <w:t xml:space="preserve">Table </w:t>
      </w:r>
      <w:r w:rsidRPr="00AB049F">
        <w:t>5</w:t>
      </w:r>
      <w:r w:rsidRPr="00465A14">
        <w:fldChar w:fldCharType="end"/>
      </w:r>
      <w:r w:rsidRPr="00465A14">
        <w:t>.</w:t>
      </w:r>
    </w:p>
    <w:p w14:paraId="0ADD7584" w14:textId="77777777" w:rsidR="00BD18AD" w:rsidRPr="00465A14" w:rsidRDefault="00BD18AD" w:rsidP="00BD18AD"/>
    <w:tbl>
      <w:tblPr>
        <w:tblStyle w:val="TableGrid"/>
        <w:tblW w:w="0" w:type="auto"/>
        <w:jc w:val="center"/>
        <w:tblLook w:val="04A0" w:firstRow="1" w:lastRow="0" w:firstColumn="1" w:lastColumn="0" w:noHBand="0" w:noVBand="1"/>
      </w:tblPr>
      <w:tblGrid>
        <w:gridCol w:w="4133"/>
        <w:gridCol w:w="5678"/>
      </w:tblGrid>
      <w:tr w:rsidR="00BD18AD" w:rsidRPr="00465A14" w14:paraId="65D14880" w14:textId="77777777" w:rsidTr="00BD18AD">
        <w:trPr>
          <w:jc w:val="center"/>
        </w:trPr>
        <w:tc>
          <w:tcPr>
            <w:tcW w:w="4133" w:type="dxa"/>
          </w:tcPr>
          <w:p w14:paraId="1A1D392B" w14:textId="77777777" w:rsidR="00BD18AD" w:rsidRPr="006C59F3" w:rsidRDefault="00BD18AD" w:rsidP="006C59F3">
            <w:pPr>
              <w:jc w:val="center"/>
              <w:rPr>
                <w:rFonts w:ascii="Times New Roman" w:eastAsia="Times New Roman" w:hAnsi="Times New Roman" w:cs="Times New Roman"/>
                <w:b/>
                <w:bCs/>
                <w:kern w:val="0"/>
                <w:sz w:val="22"/>
                <w:szCs w:val="22"/>
                <w:lang w:val="en-GB" w:eastAsia="en-CA"/>
                <w14:ligatures w14:val="none"/>
              </w:rPr>
            </w:pPr>
            <w:r w:rsidRPr="006C59F3">
              <w:rPr>
                <w:rFonts w:ascii="Times New Roman" w:eastAsia="Times New Roman" w:hAnsi="Times New Roman" w:cs="Times New Roman"/>
                <w:b/>
                <w:bCs/>
                <w:kern w:val="0"/>
                <w:sz w:val="22"/>
                <w:szCs w:val="22"/>
                <w:lang w:val="en-GB" w:eastAsia="en-CA"/>
                <w14:ligatures w14:val="none"/>
              </w:rPr>
              <w:t>Issue</w:t>
            </w:r>
          </w:p>
        </w:tc>
        <w:tc>
          <w:tcPr>
            <w:tcW w:w="5679" w:type="dxa"/>
          </w:tcPr>
          <w:p w14:paraId="6E26E94E" w14:textId="77777777" w:rsidR="00BD18AD" w:rsidRPr="006C59F3" w:rsidRDefault="00BD18AD" w:rsidP="006C59F3">
            <w:pPr>
              <w:jc w:val="center"/>
              <w:rPr>
                <w:rFonts w:ascii="Times New Roman" w:eastAsia="Times New Roman" w:hAnsi="Times New Roman" w:cs="Times New Roman"/>
                <w:b/>
                <w:bCs/>
                <w:kern w:val="0"/>
                <w:sz w:val="22"/>
                <w:szCs w:val="22"/>
                <w:lang w:val="en-GB" w:eastAsia="en-CA"/>
                <w14:ligatures w14:val="none"/>
              </w:rPr>
            </w:pPr>
            <w:r w:rsidRPr="006C59F3">
              <w:rPr>
                <w:rFonts w:ascii="Times New Roman" w:eastAsia="Times New Roman" w:hAnsi="Times New Roman" w:cs="Times New Roman"/>
                <w:b/>
                <w:bCs/>
                <w:kern w:val="0"/>
                <w:sz w:val="22"/>
                <w:szCs w:val="22"/>
                <w:lang w:val="en-GB" w:eastAsia="en-CA"/>
                <w14:ligatures w14:val="none"/>
              </w:rPr>
              <w:t>Considerations for Sedimentary Basin and Geothermal Mineral Brine Projects</w:t>
            </w:r>
          </w:p>
        </w:tc>
      </w:tr>
      <w:tr w:rsidR="00BD18AD" w:rsidRPr="00465A14" w14:paraId="073D9DE9" w14:textId="77777777" w:rsidTr="00BD18AD">
        <w:trPr>
          <w:jc w:val="center"/>
        </w:trPr>
        <w:tc>
          <w:tcPr>
            <w:tcW w:w="4133" w:type="dxa"/>
          </w:tcPr>
          <w:p w14:paraId="28D73762"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Mineral Rights</w:t>
            </w:r>
          </w:p>
        </w:tc>
        <w:tc>
          <w:tcPr>
            <w:tcW w:w="5679" w:type="dxa"/>
          </w:tcPr>
          <w:p w14:paraId="63747F1E"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Stipulations of the mineral tenure and any potential risks and uncertainties regarding “ownership” of the brine and its mineral and/or thermal content.</w:t>
            </w:r>
          </w:p>
        </w:tc>
      </w:tr>
      <w:tr w:rsidR="00BD18AD" w:rsidRPr="00465A14" w14:paraId="3BC22AC1" w14:textId="77777777" w:rsidTr="00BD18AD">
        <w:trPr>
          <w:jc w:val="center"/>
        </w:trPr>
        <w:tc>
          <w:tcPr>
            <w:tcW w:w="4133" w:type="dxa"/>
          </w:tcPr>
          <w:p w14:paraId="61DF985C"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Climate</w:t>
            </w:r>
          </w:p>
        </w:tc>
        <w:tc>
          <w:tcPr>
            <w:tcW w:w="5679" w:type="dxa"/>
          </w:tcPr>
          <w:p w14:paraId="59E4DB69"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Relevant meteorological data for surface infrastructure and access.</w:t>
            </w:r>
          </w:p>
        </w:tc>
      </w:tr>
      <w:tr w:rsidR="00BD18AD" w:rsidRPr="00465A14" w14:paraId="7784F422" w14:textId="77777777" w:rsidTr="00BD18AD">
        <w:trPr>
          <w:jc w:val="center"/>
        </w:trPr>
        <w:tc>
          <w:tcPr>
            <w:tcW w:w="4133" w:type="dxa"/>
          </w:tcPr>
          <w:p w14:paraId="22EEFF43"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Geology and Mineralization</w:t>
            </w:r>
          </w:p>
        </w:tc>
        <w:tc>
          <w:tcPr>
            <w:tcW w:w="5679" w:type="dxa"/>
          </w:tcPr>
          <w:p w14:paraId="45C37C50"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Material balance, geology of the reservoir characteristics of the brine body such as configuration, chemistry, variability, grade, etc. over reasonable extrapolated distances.</w:t>
            </w:r>
          </w:p>
        </w:tc>
      </w:tr>
      <w:tr w:rsidR="00BD18AD" w:rsidRPr="00465A14" w14:paraId="4BFF30BF" w14:textId="77777777" w:rsidTr="00BD18AD">
        <w:trPr>
          <w:jc w:val="center"/>
        </w:trPr>
        <w:tc>
          <w:tcPr>
            <w:tcW w:w="4133" w:type="dxa"/>
          </w:tcPr>
          <w:p w14:paraId="4296ABD8"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Deposit Types</w:t>
            </w:r>
          </w:p>
        </w:tc>
        <w:tc>
          <w:tcPr>
            <w:tcW w:w="5679" w:type="dxa"/>
          </w:tcPr>
          <w:p w14:paraId="294B6219" w14:textId="5BCF3DC1"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Characteristics of the host reservoir (e.g.</w:t>
            </w:r>
            <w:r w:rsidR="00BC71B7">
              <w:rPr>
                <w:rFonts w:ascii="Times New Roman" w:eastAsia="Times New Roman" w:hAnsi="Times New Roman" w:cs="Times New Roman"/>
                <w:kern w:val="0"/>
                <w:sz w:val="22"/>
                <w:szCs w:val="22"/>
                <w:lang w:val="en-GB" w:eastAsia="en-CA"/>
                <w14:ligatures w14:val="none"/>
              </w:rPr>
              <w:t>,</w:t>
            </w:r>
            <w:r w:rsidRPr="00BD18AD">
              <w:rPr>
                <w:rFonts w:ascii="Times New Roman" w:eastAsia="Times New Roman" w:hAnsi="Times New Roman" w:cs="Times New Roman"/>
                <w:kern w:val="0"/>
                <w:sz w:val="22"/>
                <w:szCs w:val="22"/>
                <w:lang w:val="en-GB" w:eastAsia="en-CA"/>
                <w14:ligatures w14:val="none"/>
              </w:rPr>
              <w:t xml:space="preserve"> reservoir shape, boundary conditions, deposit genesis, etc.)</w:t>
            </w:r>
          </w:p>
        </w:tc>
      </w:tr>
      <w:tr w:rsidR="00BD18AD" w:rsidRPr="00465A14" w14:paraId="5AD08454" w14:textId="77777777" w:rsidTr="00BD18AD">
        <w:trPr>
          <w:jc w:val="center"/>
        </w:trPr>
        <w:tc>
          <w:tcPr>
            <w:tcW w:w="4133" w:type="dxa"/>
          </w:tcPr>
          <w:p w14:paraId="17FDFD29"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Sampling</w:t>
            </w:r>
          </w:p>
        </w:tc>
        <w:tc>
          <w:tcPr>
            <w:tcW w:w="5679" w:type="dxa"/>
          </w:tcPr>
          <w:p w14:paraId="05E5C558"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Controls (chain of custody) and protocols (QA/QC) for brine sampling, preservation and estimation of key parameters such as brine chemistry, effective porosity, permeability, etc.</w:t>
            </w:r>
          </w:p>
        </w:tc>
      </w:tr>
      <w:tr w:rsidR="00BD18AD" w:rsidRPr="00465A14" w14:paraId="1206E2B6" w14:textId="77777777" w:rsidTr="00BD18AD">
        <w:trPr>
          <w:jc w:val="center"/>
        </w:trPr>
        <w:tc>
          <w:tcPr>
            <w:tcW w:w="4133" w:type="dxa"/>
          </w:tcPr>
          <w:p w14:paraId="0C716FAC"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Mineral Resource Estimates</w:t>
            </w:r>
          </w:p>
        </w:tc>
        <w:tc>
          <w:tcPr>
            <w:tcW w:w="5679" w:type="dxa"/>
          </w:tcPr>
          <w:p w14:paraId="76D5D533"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For each flow unit, estimation of key parameters such as brine volume and grade, reservoir shape and boundary conditions, effective porosity; preliminary analysis of potential pumping rates and recoverability to meet requirement for reasonable prospects of economic extraction.</w:t>
            </w:r>
          </w:p>
          <w:p w14:paraId="0460FCD1"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p>
          <w:p w14:paraId="17CF97FF"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For mineral resource estimates where economic analysis has been completed, it is recommended that the reference point be at the point of sale.</w:t>
            </w:r>
          </w:p>
        </w:tc>
      </w:tr>
      <w:tr w:rsidR="00BD18AD" w:rsidRPr="00465A14" w14:paraId="12E0F8E6" w14:textId="77777777" w:rsidTr="00BD18AD">
        <w:trPr>
          <w:jc w:val="center"/>
        </w:trPr>
        <w:tc>
          <w:tcPr>
            <w:tcW w:w="4133" w:type="dxa"/>
          </w:tcPr>
          <w:p w14:paraId="2D342820"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Mineral Reserve Estimates</w:t>
            </w:r>
          </w:p>
        </w:tc>
        <w:tc>
          <w:tcPr>
            <w:tcW w:w="5679" w:type="dxa"/>
          </w:tcPr>
          <w:p w14:paraId="44F41C75"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For each flow unit, estimation of key parameters such as permeability, boundary conditions, brine movement and grade variation during production; including construction of fluid flow simulation models to demonstrate that economic extraction is feasible and to evaluate any significant hydraulic and grade changes over time.</w:t>
            </w:r>
          </w:p>
          <w:p w14:paraId="63F47D42"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p>
          <w:p w14:paraId="35763521" w14:textId="77777777"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Recommend reference point at point of sale.</w:t>
            </w:r>
          </w:p>
        </w:tc>
      </w:tr>
      <w:tr w:rsidR="00BD18AD" w:rsidRPr="00465A14" w14:paraId="1C08C5CF" w14:textId="77777777" w:rsidTr="00BD18AD">
        <w:trPr>
          <w:jc w:val="center"/>
        </w:trPr>
        <w:tc>
          <w:tcPr>
            <w:tcW w:w="4133" w:type="dxa"/>
          </w:tcPr>
          <w:p w14:paraId="5BB95516" w14:textId="77777777" w:rsidR="00BD18AD" w:rsidRPr="00BD18AD" w:rsidRDefault="00BD18AD" w:rsidP="00FB42F7">
            <w:pPr>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Mining Method</w:t>
            </w:r>
          </w:p>
        </w:tc>
        <w:tc>
          <w:tcPr>
            <w:tcW w:w="5679" w:type="dxa"/>
          </w:tcPr>
          <w:p w14:paraId="70021C68" w14:textId="3C6B32EC" w:rsidR="00BD18AD" w:rsidRPr="00BD18AD" w:rsidRDefault="00BD18AD" w:rsidP="007C09DC">
            <w:pPr>
              <w:jc w:val="both"/>
              <w:rPr>
                <w:rFonts w:ascii="Times New Roman" w:eastAsia="Times New Roman" w:hAnsi="Times New Roman" w:cs="Times New Roman"/>
                <w:kern w:val="0"/>
                <w:sz w:val="22"/>
                <w:szCs w:val="22"/>
                <w:lang w:val="en-GB" w:eastAsia="en-CA"/>
                <w14:ligatures w14:val="none"/>
              </w:rPr>
            </w:pPr>
            <w:r w:rsidRPr="00BD18AD">
              <w:rPr>
                <w:rFonts w:ascii="Times New Roman" w:eastAsia="Times New Roman" w:hAnsi="Times New Roman" w:cs="Times New Roman"/>
                <w:kern w:val="0"/>
                <w:sz w:val="22"/>
                <w:szCs w:val="22"/>
                <w:lang w:val="en-GB" w:eastAsia="en-CA"/>
                <w14:ligatures w14:val="none"/>
              </w:rPr>
              <w:t xml:space="preserve">Relevant information on the design </w:t>
            </w:r>
            <w:proofErr w:type="gramStart"/>
            <w:r w:rsidRPr="00BD18AD">
              <w:rPr>
                <w:rFonts w:ascii="Times New Roman" w:eastAsia="Times New Roman" w:hAnsi="Times New Roman" w:cs="Times New Roman"/>
                <w:kern w:val="0"/>
                <w:sz w:val="22"/>
                <w:szCs w:val="22"/>
                <w:lang w:val="en-GB" w:eastAsia="en-CA"/>
                <w14:ligatures w14:val="none"/>
              </w:rPr>
              <w:t>of:</w:t>
            </w:r>
            <w:proofErr w:type="gramEnd"/>
            <w:r w:rsidRPr="00BD18AD">
              <w:rPr>
                <w:rFonts w:ascii="Times New Roman" w:eastAsia="Times New Roman" w:hAnsi="Times New Roman" w:cs="Times New Roman"/>
                <w:kern w:val="0"/>
                <w:sz w:val="22"/>
                <w:szCs w:val="22"/>
                <w:lang w:val="en-GB" w:eastAsia="en-CA"/>
                <w14:ligatures w14:val="none"/>
              </w:rPr>
              <w:t xml:space="preserve"> </w:t>
            </w:r>
            <w:r>
              <w:rPr>
                <w:rFonts w:ascii="Times New Roman" w:eastAsia="Times New Roman" w:hAnsi="Times New Roman" w:cs="Times New Roman"/>
                <w:kern w:val="0"/>
                <w:sz w:val="22"/>
                <w:szCs w:val="22"/>
                <w:lang w:val="en-GB" w:eastAsia="en-CA"/>
                <w14:ligatures w14:val="none"/>
              </w:rPr>
              <w:t>t</w:t>
            </w:r>
            <w:r w:rsidRPr="00BD18AD">
              <w:rPr>
                <w:rFonts w:ascii="Times New Roman" w:eastAsia="Times New Roman" w:hAnsi="Times New Roman" w:cs="Times New Roman"/>
                <w:kern w:val="0"/>
                <w:sz w:val="22"/>
                <w:szCs w:val="22"/>
                <w:lang w:val="en-GB" w:eastAsia="en-CA"/>
                <w14:ligatures w14:val="none"/>
              </w:rPr>
              <w:t>he production/extraction well field, infrastructure and pumping rates; the reinjection well field, infrastructure and rates, if present; the process infrastructure and rates.</w:t>
            </w:r>
          </w:p>
        </w:tc>
      </w:tr>
    </w:tbl>
    <w:p w14:paraId="0FC4C5A5" w14:textId="447877D1" w:rsidR="0081272B" w:rsidRDefault="00BD18AD" w:rsidP="0081272B">
      <w:pPr>
        <w:pStyle w:val="Caption"/>
        <w:keepNext/>
      </w:pPr>
      <w:bookmarkStart w:id="36" w:name="_Ref188630061"/>
      <w:r w:rsidRPr="00465A14">
        <w:t xml:space="preserve">Table </w:t>
      </w:r>
      <w:r>
        <w:fldChar w:fldCharType="begin"/>
      </w:r>
      <w:r>
        <w:instrText xml:space="preserve"> SEQ Table \* ARABIC </w:instrText>
      </w:r>
      <w:r>
        <w:fldChar w:fldCharType="separate"/>
      </w:r>
      <w:r w:rsidRPr="00AB049F">
        <w:t>5</w:t>
      </w:r>
      <w:r>
        <w:fldChar w:fldCharType="end"/>
      </w:r>
      <w:bookmarkEnd w:id="36"/>
      <w:r w:rsidRPr="00465A14">
        <w:t>: Summary of sedimentary basin and geothermal BH-Li Deposit Considerations within the NI43-101 Framework</w:t>
      </w:r>
      <w:bookmarkStart w:id="37" w:name="_Toc212629280"/>
    </w:p>
    <w:p w14:paraId="0495188B" w14:textId="77777777" w:rsidR="0081272B" w:rsidRDefault="0081272B" w:rsidP="0081272B">
      <w:pPr>
        <w:rPr>
          <w:lang w:val="en-CA" w:eastAsia="en-US" w:bidi="ar-SA"/>
        </w:rPr>
      </w:pPr>
    </w:p>
    <w:p w14:paraId="5FD493A8" w14:textId="77777777" w:rsidR="00956D0B" w:rsidRDefault="00956D0B" w:rsidP="0081272B">
      <w:pPr>
        <w:rPr>
          <w:lang w:val="en-CA" w:eastAsia="en-US" w:bidi="ar-SA"/>
        </w:rPr>
      </w:pPr>
    </w:p>
    <w:p w14:paraId="2A273C6D" w14:textId="77777777" w:rsidR="00956D0B" w:rsidRDefault="00956D0B" w:rsidP="0081272B">
      <w:pPr>
        <w:rPr>
          <w:lang w:val="en-CA" w:eastAsia="en-US" w:bidi="ar-SA"/>
        </w:rPr>
      </w:pPr>
    </w:p>
    <w:p w14:paraId="194B1D39" w14:textId="77777777" w:rsidR="00956D0B" w:rsidRDefault="00956D0B" w:rsidP="0081272B">
      <w:pPr>
        <w:rPr>
          <w:lang w:val="en-CA" w:eastAsia="en-US" w:bidi="ar-SA"/>
        </w:rPr>
      </w:pPr>
    </w:p>
    <w:p w14:paraId="0CC1037B" w14:textId="77777777" w:rsidR="00956D0B" w:rsidRPr="0081272B" w:rsidRDefault="00956D0B" w:rsidP="0081272B">
      <w:pPr>
        <w:rPr>
          <w:lang w:val="en-CA" w:eastAsia="en-US" w:bidi="ar-SA"/>
        </w:rPr>
      </w:pPr>
    </w:p>
    <w:p w14:paraId="2E4DA667" w14:textId="4115EAB5" w:rsidR="00CA5D22" w:rsidRPr="00C65688" w:rsidRDefault="00BD2019">
      <w:pPr>
        <w:pStyle w:val="Heading1"/>
        <w:rPr>
          <w:rFonts w:ascii="Times New Roman" w:eastAsia="Times New Roman" w:hAnsi="Times New Roman" w:cs="Times New Roman"/>
          <w:color w:val="365F91" w:themeColor="accent1" w:themeShade="BF"/>
        </w:rPr>
      </w:pPr>
      <w:r>
        <w:rPr>
          <w:rFonts w:ascii="Times New Roman" w:eastAsia="Times New Roman" w:hAnsi="Times New Roman" w:cs="Times New Roman"/>
          <w:color w:val="365F91" w:themeColor="accent1" w:themeShade="BF"/>
        </w:rPr>
        <w:lastRenderedPageBreak/>
        <w:t>8</w:t>
      </w:r>
      <w:r w:rsidR="00A95283" w:rsidRPr="00C65688">
        <w:rPr>
          <w:rFonts w:ascii="Times New Roman" w:eastAsia="Times New Roman" w:hAnsi="Times New Roman" w:cs="Times New Roman"/>
          <w:color w:val="365F91" w:themeColor="accent1" w:themeShade="BF"/>
        </w:rPr>
        <w:t>.</w:t>
      </w:r>
      <w:r w:rsidR="00A95283" w:rsidRPr="00C65688">
        <w:rPr>
          <w:rFonts w:ascii="Times New Roman" w:eastAsia="Times New Roman" w:hAnsi="Times New Roman" w:cs="Times New Roman"/>
          <w:color w:val="365F91" w:themeColor="accent1" w:themeShade="BF"/>
        </w:rPr>
        <w:tab/>
        <w:t>Acknowledgements</w:t>
      </w:r>
      <w:bookmarkEnd w:id="37"/>
    </w:p>
    <w:p w14:paraId="73F5930F" w14:textId="77777777" w:rsidR="00CA5D22" w:rsidRDefault="00CA5D22">
      <w:pPr>
        <w:spacing w:line="167" w:lineRule="auto"/>
      </w:pPr>
    </w:p>
    <w:p w14:paraId="258FA533" w14:textId="184D6FCC" w:rsidR="00822401" w:rsidRPr="00465A14" w:rsidRDefault="00822401" w:rsidP="00822401">
      <w:r w:rsidRPr="00465A14">
        <w:t>The authors of this document (Ed Dancsok, Ian Hutcheon, Joanie Kennedy, Meghan Klein, Michael McKibben, Kirsten Pugh, and John Styles) would like to acknowledge the following:</w:t>
      </w:r>
    </w:p>
    <w:p w14:paraId="12C14FE6" w14:textId="77777777" w:rsidR="00822401" w:rsidRPr="00465A14" w:rsidRDefault="00822401" w:rsidP="00822401">
      <w:pPr>
        <w:pStyle w:val="ListParagraph"/>
        <w:widowControl/>
        <w:numPr>
          <w:ilvl w:val="0"/>
          <w:numId w:val="37"/>
        </w:numPr>
        <w:contextualSpacing/>
      </w:pPr>
      <w:r w:rsidRPr="00465A14">
        <w:t>The valuable input from other members of our committee, Mark King and Mike Rosko, who prepared the updated document related to brines from confined basins (</w:t>
      </w:r>
      <w:proofErr w:type="spellStart"/>
      <w:r w:rsidRPr="00465A14">
        <w:t>salars</w:t>
      </w:r>
      <w:proofErr w:type="spellEnd"/>
      <w:r w:rsidRPr="00465A14">
        <w:t xml:space="preserve">), and provided insightful </w:t>
      </w:r>
      <w:proofErr w:type="gramStart"/>
      <w:r w:rsidRPr="00465A14">
        <w:t>reviews</w:t>
      </w:r>
      <w:r>
        <w:t>;</w:t>
      </w:r>
      <w:proofErr w:type="gramEnd"/>
      <w:r>
        <w:t xml:space="preserve"> </w:t>
      </w:r>
    </w:p>
    <w:p w14:paraId="1D22F124" w14:textId="77777777" w:rsidR="00822401" w:rsidRPr="00465A14" w:rsidRDefault="00822401" w:rsidP="00822401">
      <w:pPr>
        <w:pStyle w:val="ListParagraph"/>
        <w:widowControl/>
        <w:numPr>
          <w:ilvl w:val="0"/>
          <w:numId w:val="37"/>
        </w:numPr>
        <w:contextualSpacing/>
      </w:pPr>
      <w:r w:rsidRPr="00465A14">
        <w:t>Guidance and mentoring of CIM Representative Garth Kirkham</w:t>
      </w:r>
      <w:r>
        <w:t>; and</w:t>
      </w:r>
    </w:p>
    <w:p w14:paraId="6089A999" w14:textId="77777777" w:rsidR="00822401" w:rsidRDefault="00822401" w:rsidP="00822401">
      <w:pPr>
        <w:pStyle w:val="ListParagraph"/>
        <w:widowControl/>
        <w:numPr>
          <w:ilvl w:val="0"/>
          <w:numId w:val="37"/>
        </w:numPr>
        <w:contextualSpacing/>
      </w:pPr>
      <w:r>
        <w:t>The s</w:t>
      </w:r>
      <w:r w:rsidRPr="00465A14">
        <w:t>upport of CIM staff member Jennifer Breaux</w:t>
      </w:r>
      <w:r>
        <w:t>.</w:t>
      </w:r>
    </w:p>
    <w:p w14:paraId="7967E6AD" w14:textId="77777777" w:rsidR="00822401" w:rsidRDefault="00822401" w:rsidP="00822401">
      <w:pPr>
        <w:widowControl/>
        <w:contextualSpacing/>
      </w:pPr>
    </w:p>
    <w:p w14:paraId="1D8EE513" w14:textId="77777777" w:rsidR="00822401" w:rsidRPr="00465A14" w:rsidRDefault="00822401" w:rsidP="00822401">
      <w:pPr>
        <w:widowControl/>
        <w:contextualSpacing/>
      </w:pPr>
    </w:p>
    <w:p w14:paraId="372ADFF8" w14:textId="77777777" w:rsidR="00CA5D22" w:rsidRDefault="00A95283">
      <w:pPr>
        <w:rPr>
          <w:sz w:val="24"/>
          <w:szCs w:val="24"/>
        </w:rPr>
      </w:pPr>
      <w:r>
        <w:br w:type="page"/>
      </w:r>
    </w:p>
    <w:p w14:paraId="02DEF448" w14:textId="7A2ACA0C" w:rsidR="00CA5D22" w:rsidRPr="00C65688" w:rsidRDefault="00CB38C6">
      <w:pPr>
        <w:pStyle w:val="Heading1"/>
        <w:rPr>
          <w:rFonts w:ascii="Times New Roman" w:eastAsia="Times New Roman" w:hAnsi="Times New Roman" w:cs="Times New Roman"/>
          <w:color w:val="365F91" w:themeColor="accent1" w:themeShade="BF"/>
        </w:rPr>
      </w:pPr>
      <w:bookmarkStart w:id="38" w:name="_Toc212629281"/>
      <w:r>
        <w:rPr>
          <w:rFonts w:ascii="Times New Roman" w:eastAsia="Times New Roman" w:hAnsi="Times New Roman" w:cs="Times New Roman"/>
          <w:color w:val="365F91" w:themeColor="accent1" w:themeShade="BF"/>
        </w:rPr>
        <w:lastRenderedPageBreak/>
        <w:t>9</w:t>
      </w:r>
      <w:r w:rsidR="00A95283" w:rsidRPr="00C65688">
        <w:rPr>
          <w:rFonts w:ascii="Times New Roman" w:eastAsia="Times New Roman" w:hAnsi="Times New Roman" w:cs="Times New Roman"/>
          <w:color w:val="365F91" w:themeColor="accent1" w:themeShade="BF"/>
        </w:rPr>
        <w:t>.</w:t>
      </w:r>
      <w:r w:rsidR="00A95283" w:rsidRPr="00C65688">
        <w:rPr>
          <w:rFonts w:ascii="Times New Roman" w:eastAsia="Times New Roman" w:hAnsi="Times New Roman" w:cs="Times New Roman"/>
          <w:color w:val="365F91" w:themeColor="accent1" w:themeShade="BF"/>
        </w:rPr>
        <w:tab/>
        <w:t>References</w:t>
      </w:r>
      <w:bookmarkEnd w:id="38"/>
    </w:p>
    <w:p w14:paraId="3E4E10B3" w14:textId="77777777" w:rsidR="00CA5D22" w:rsidRDefault="00CA5D22"/>
    <w:p w14:paraId="3CDC4777" w14:textId="77777777" w:rsidR="00D76171" w:rsidRDefault="00D76171" w:rsidP="0014018E">
      <w:pPr>
        <w:ind w:left="720" w:hanging="720"/>
      </w:pPr>
      <w:r w:rsidRPr="00A47BBD">
        <w:t xml:space="preserve">Bradley, Dwight &amp; Munk, Lee &amp; Jochens, Hillary &amp; Hynek, Scott &amp; Labay, Keith. (2013). A Preliminary Deposit Model for Lithium Brines. USGS professional paper. 1006. 1-6. </w:t>
      </w:r>
    </w:p>
    <w:p w14:paraId="5978953F" w14:textId="77777777" w:rsidR="0014018E" w:rsidRPr="00465A14" w:rsidRDefault="0014018E" w:rsidP="0014018E">
      <w:pPr>
        <w:ind w:left="720" w:hanging="720"/>
      </w:pPr>
    </w:p>
    <w:p w14:paraId="69AE6E9A" w14:textId="77777777" w:rsidR="00D76171" w:rsidRPr="00465A14" w:rsidRDefault="00D76171" w:rsidP="0014018E">
      <w:pPr>
        <w:ind w:left="720" w:hanging="720"/>
      </w:pPr>
      <w:r w:rsidRPr="009D38D4">
        <w:t xml:space="preserve">Bowell, Rob &amp; Lagos, Laura &amp; de </w:t>
      </w:r>
      <w:proofErr w:type="spellStart"/>
      <w:r w:rsidRPr="009D38D4">
        <w:t>los</w:t>
      </w:r>
      <w:proofErr w:type="spellEnd"/>
      <w:r w:rsidRPr="009D38D4">
        <w:t xml:space="preserve"> Hoyos, Camilo &amp; Declercq, Julien. (2020). Classification and Characteristics of Natural Lithium Resources. Elements. 16. 259-264. 10.2138/gselements.16.4.259. </w:t>
      </w:r>
    </w:p>
    <w:p w14:paraId="63D609FF" w14:textId="77777777" w:rsidR="00D76171" w:rsidRDefault="00D76171" w:rsidP="0014018E">
      <w:pPr>
        <w:ind w:left="720" w:hanging="720"/>
      </w:pPr>
    </w:p>
    <w:p w14:paraId="322DBEEE" w14:textId="394CA4BA" w:rsidR="00D76171" w:rsidRDefault="00D76171" w:rsidP="0014018E">
      <w:pPr>
        <w:ind w:left="720" w:hanging="720"/>
      </w:pPr>
      <w:r>
        <w:t>Anthony E. Ciriaco, Sadiq J. Zarrouk, Golbon Zakeri. Geothermal resource and reserve assessment methodology: Overview, analysis and future directions, Renewable and Sustainable Energy Reviews, Volume 119, 2020, 10951</w:t>
      </w:r>
    </w:p>
    <w:p w14:paraId="20027DF0" w14:textId="77777777" w:rsidR="00D76171" w:rsidRPr="00465A14" w:rsidRDefault="00D76171" w:rsidP="0014018E">
      <w:pPr>
        <w:ind w:left="720" w:hanging="720"/>
      </w:pPr>
    </w:p>
    <w:p w14:paraId="1AA632FC" w14:textId="77777777" w:rsidR="00D76171" w:rsidRPr="00465A14" w:rsidRDefault="00D76171" w:rsidP="0014018E">
      <w:pPr>
        <w:ind w:left="720" w:hanging="720"/>
        <w:contextualSpacing/>
      </w:pPr>
      <w:r w:rsidRPr="00465A14">
        <w:t>CIM Definition Standards for Mineral Resources &amp; Mineral Reserves; 1</w:t>
      </w:r>
      <w:r>
        <w:t>0</w:t>
      </w:r>
      <w:r w:rsidRPr="00465A14">
        <w:t>-May-2014</w:t>
      </w:r>
    </w:p>
    <w:p w14:paraId="74FEBC5E" w14:textId="77777777" w:rsidR="00D76171" w:rsidRPr="00465A14" w:rsidRDefault="00D76171" w:rsidP="0014018E">
      <w:pPr>
        <w:ind w:left="720" w:hanging="720"/>
        <w:contextualSpacing/>
      </w:pPr>
    </w:p>
    <w:p w14:paraId="6B8D65A5" w14:textId="77777777" w:rsidR="00D76171" w:rsidRPr="00465A14" w:rsidRDefault="00D76171" w:rsidP="0014018E">
      <w:pPr>
        <w:ind w:left="720" w:hanging="720"/>
        <w:contextualSpacing/>
      </w:pPr>
      <w:r w:rsidRPr="00465A14">
        <w:t>CIM Estimation of Mineral Resources and Mineral Reserves Best Practice Guidelines</w:t>
      </w:r>
      <w:r>
        <w:t>; 29-</w:t>
      </w:r>
      <w:proofErr w:type="gramStart"/>
      <w:r>
        <w:t>November,</w:t>
      </w:r>
      <w:proofErr w:type="gramEnd"/>
      <w:r>
        <w:t xml:space="preserve"> 2019</w:t>
      </w:r>
      <w:r w:rsidRPr="00465A14" w:rsidDel="00644F5C">
        <w:t xml:space="preserve"> </w:t>
      </w:r>
    </w:p>
    <w:p w14:paraId="2A8162C1" w14:textId="77777777" w:rsidR="00D76171" w:rsidRDefault="00D76171" w:rsidP="0014018E">
      <w:pPr>
        <w:ind w:left="720" w:hanging="720"/>
        <w:contextualSpacing/>
      </w:pPr>
    </w:p>
    <w:p w14:paraId="40B64AAC" w14:textId="77777777" w:rsidR="00D76171" w:rsidRPr="00465A14" w:rsidRDefault="00D76171" w:rsidP="0014018E">
      <w:pPr>
        <w:ind w:left="720" w:hanging="720"/>
      </w:pPr>
      <w:r w:rsidRPr="0091542C">
        <w:t>Coffey, D. M., Munk, L. A., Ibarra, D. E., Butler, K. L., </w:t>
      </w:r>
      <w:proofErr w:type="spellStart"/>
      <w:r w:rsidRPr="0091542C">
        <w:t>Boutt</w:t>
      </w:r>
      <w:proofErr w:type="spellEnd"/>
      <w:r w:rsidRPr="0091542C">
        <w:t>, D. F., &amp; Jenckes, J. (2021). Lithium storage and release from lacustrine sediments: Implications for lithium enrichment and sustainability in continental brines. </w:t>
      </w:r>
      <w:r w:rsidRPr="0091542C">
        <w:rPr>
          <w:i/>
          <w:iCs/>
        </w:rPr>
        <w:t>Geochemistry, Geophysics, Geosystems</w:t>
      </w:r>
      <w:r w:rsidRPr="0091542C">
        <w:t>, 22, e2021GC009916</w:t>
      </w:r>
      <w:r w:rsidRPr="00465A14">
        <w:t>.</w:t>
      </w:r>
    </w:p>
    <w:p w14:paraId="2C5B8A0B" w14:textId="77777777" w:rsidR="00D76171" w:rsidRDefault="00D76171" w:rsidP="0014018E">
      <w:pPr>
        <w:ind w:left="720" w:hanging="720"/>
      </w:pPr>
    </w:p>
    <w:p w14:paraId="4ECB8E81" w14:textId="77777777" w:rsidR="00D76171" w:rsidRPr="00465A14" w:rsidRDefault="00D76171" w:rsidP="0014018E">
      <w:pPr>
        <w:ind w:left="720" w:hanging="720"/>
      </w:pPr>
      <w:r>
        <w:t xml:space="preserve">Roxana Darvari, Jean-Philippe Nicot, Bridget R. Scanlon, J. Richard Kyle, Brent A. Elliott, Kristine Uhlman, Controls on lithium content of oilfield waters in Texas and </w:t>
      </w:r>
      <w:proofErr w:type="spellStart"/>
      <w:r>
        <w:t>neighboring</w:t>
      </w:r>
      <w:proofErr w:type="spellEnd"/>
      <w:r>
        <w:t xml:space="preserve"> states (USA), Journal of Geochemical Exploration, Volume 257, 2024, 107363</w:t>
      </w:r>
      <w:r w:rsidRPr="00465A14">
        <w:t>.</w:t>
      </w:r>
    </w:p>
    <w:p w14:paraId="7226C1C7" w14:textId="77777777" w:rsidR="00D76171" w:rsidRDefault="00D76171" w:rsidP="0014018E">
      <w:pPr>
        <w:ind w:left="720" w:hanging="720"/>
        <w:contextualSpacing/>
      </w:pPr>
    </w:p>
    <w:p w14:paraId="53E4E41B" w14:textId="77777777" w:rsidR="00D76171" w:rsidRPr="00465A14" w:rsidRDefault="00D76171" w:rsidP="0014018E">
      <w:pPr>
        <w:ind w:left="720" w:hanging="720"/>
        <w:contextualSpacing/>
      </w:pPr>
      <w:proofErr w:type="spellStart"/>
      <w:r w:rsidRPr="008D122C">
        <w:t>Diersch</w:t>
      </w:r>
      <w:proofErr w:type="spellEnd"/>
      <w:r w:rsidRPr="008D122C">
        <w:t xml:space="preserve">, Hans-Jörg. (2013). FEFLOW—Finite Element </w:t>
      </w:r>
      <w:proofErr w:type="spellStart"/>
      <w:r w:rsidRPr="008D122C">
        <w:t>Modeling</w:t>
      </w:r>
      <w:proofErr w:type="spellEnd"/>
      <w:r w:rsidRPr="008D122C">
        <w:t xml:space="preserve"> of Flow, Mass and Heat Transport in Porous and Fractured Media. 10.1007/978-3-642-38739-5. </w:t>
      </w:r>
    </w:p>
    <w:p w14:paraId="0F0FC08B" w14:textId="77777777" w:rsidR="00D76171" w:rsidRPr="00465A14" w:rsidRDefault="00D76171" w:rsidP="0014018E">
      <w:pPr>
        <w:ind w:left="720" w:hanging="720"/>
        <w:contextualSpacing/>
      </w:pPr>
      <w:r w:rsidRPr="00465A14">
        <w:t>COGEH Guidelines, Society of Petroleum Evaluation Engineers Canada</w:t>
      </w:r>
      <w:r>
        <w:t>, January 2022.</w:t>
      </w:r>
      <w:r w:rsidRPr="00465A14" w:rsidDel="008A178B">
        <w:t xml:space="preserve"> </w:t>
      </w:r>
    </w:p>
    <w:p w14:paraId="6A5A5B14" w14:textId="77777777" w:rsidR="00D76171" w:rsidRDefault="00D76171" w:rsidP="0014018E">
      <w:pPr>
        <w:ind w:left="720" w:hanging="720"/>
      </w:pPr>
    </w:p>
    <w:p w14:paraId="2764EC27" w14:textId="77777777" w:rsidR="00D76171" w:rsidRPr="00465A14" w:rsidRDefault="00D76171" w:rsidP="0014018E">
      <w:pPr>
        <w:ind w:left="720" w:hanging="720"/>
      </w:pPr>
      <w:r w:rsidRPr="00292F1D">
        <w:t xml:space="preserve">Dobson, P., Araya, N., </w:t>
      </w:r>
      <w:proofErr w:type="spellStart"/>
      <w:r w:rsidRPr="00292F1D">
        <w:t>Brounce</w:t>
      </w:r>
      <w:proofErr w:type="spellEnd"/>
      <w:r w:rsidRPr="00292F1D">
        <w:t xml:space="preserve">, M., Busse, M.M., Camarillo, M.K., English, L., Humphreys, J., </w:t>
      </w:r>
      <w:proofErr w:type="spellStart"/>
      <w:r w:rsidRPr="00292F1D">
        <w:t>Kalderon</w:t>
      </w:r>
      <w:proofErr w:type="spellEnd"/>
      <w:r w:rsidRPr="00292F1D">
        <w:t xml:space="preserve">-Asael, B., McKibben, M.A., Millstein, D., Nakata, N., O'Sullivan, J., </w:t>
      </w:r>
      <w:proofErr w:type="spellStart"/>
      <w:r w:rsidRPr="00292F1D">
        <w:t>Planavsky</w:t>
      </w:r>
      <w:proofErr w:type="spellEnd"/>
      <w:r w:rsidRPr="00292F1D">
        <w:t xml:space="preserve">, N., </w:t>
      </w:r>
      <w:proofErr w:type="spellStart"/>
      <w:r w:rsidRPr="00292F1D">
        <w:t>Popineau</w:t>
      </w:r>
      <w:proofErr w:type="spellEnd"/>
      <w:r w:rsidRPr="00292F1D">
        <w:t xml:space="preserve">, J., Renaud, T., </w:t>
      </w:r>
      <w:proofErr w:type="spellStart"/>
      <w:r w:rsidRPr="00292F1D">
        <w:t>Riffault</w:t>
      </w:r>
      <w:proofErr w:type="spellEnd"/>
      <w:r w:rsidRPr="00292F1D">
        <w:t>, J., Slattery, M., Sonnenthal, E., Spycher, N., Stokes-Draut, J., Stringfellow, W.T., and White, M.C.A. (2023) Characterizing the Geothermal Lithium Resource at the Salton Sea. LBNL Report LBNL-2001557, 350 p</w:t>
      </w:r>
    </w:p>
    <w:p w14:paraId="65C45E7F" w14:textId="77777777" w:rsidR="00D76171" w:rsidRDefault="00D76171" w:rsidP="0014018E">
      <w:pPr>
        <w:ind w:left="720" w:hanging="720"/>
      </w:pPr>
    </w:p>
    <w:p w14:paraId="396A0F2B" w14:textId="77777777" w:rsidR="00D76171" w:rsidRPr="00465A14" w:rsidRDefault="00D76171" w:rsidP="0014018E">
      <w:pPr>
        <w:ind w:left="720" w:hanging="720"/>
      </w:pPr>
      <w:r>
        <w:t xml:space="preserve">Elza J.M. Dugamin, Marie-Christine Boiron, Michel Cathelineau, Antonin Richard, Chantal </w:t>
      </w:r>
      <w:proofErr w:type="spellStart"/>
      <w:r>
        <w:t>Peiffert</w:t>
      </w:r>
      <w:proofErr w:type="spellEnd"/>
      <w:r>
        <w:t>, Alexandre Lebreton, David A. Banks, Frank Despinois, Brine-granite interaction and lithium leaching in a continental rift (Soultz-sous-</w:t>
      </w:r>
      <w:proofErr w:type="spellStart"/>
      <w:r>
        <w:t>Forêts</w:t>
      </w:r>
      <w:proofErr w:type="spellEnd"/>
      <w:r>
        <w:t xml:space="preserve">, Rhine Graben, France), </w:t>
      </w:r>
      <w:proofErr w:type="spellStart"/>
      <w:r>
        <w:t>Lithos</w:t>
      </w:r>
      <w:proofErr w:type="spellEnd"/>
      <w:r>
        <w:t>, Volumes 478–479, 2024, 107604</w:t>
      </w:r>
    </w:p>
    <w:p w14:paraId="34D4C714" w14:textId="77777777" w:rsidR="00D76171" w:rsidRDefault="00D76171" w:rsidP="0014018E">
      <w:pPr>
        <w:ind w:left="720" w:hanging="720"/>
      </w:pPr>
    </w:p>
    <w:p w14:paraId="61E617AA" w14:textId="77777777" w:rsidR="00D76171" w:rsidRDefault="00D76171" w:rsidP="0014018E">
      <w:pPr>
        <w:ind w:left="720" w:hanging="720"/>
      </w:pPr>
      <w:proofErr w:type="spellStart"/>
      <w:r w:rsidRPr="00CF0373">
        <w:rPr>
          <w:lang w:val="fr-CA"/>
        </w:rPr>
        <w:t>Dugamin</w:t>
      </w:r>
      <w:proofErr w:type="spellEnd"/>
      <w:r w:rsidRPr="00CF0373">
        <w:rPr>
          <w:lang w:val="fr-CA"/>
        </w:rPr>
        <w:t>, E.J.M., Richard, A., Cathelineau, M. </w:t>
      </w:r>
      <w:r w:rsidRPr="00CF0373">
        <w:rPr>
          <w:i/>
          <w:iCs/>
          <w:lang w:val="fr-CA"/>
        </w:rPr>
        <w:t>et al.</w:t>
      </w:r>
      <w:r w:rsidRPr="00CF0373">
        <w:rPr>
          <w:lang w:val="fr-CA"/>
        </w:rPr>
        <w:t> </w:t>
      </w:r>
      <w:r w:rsidRPr="0034644E">
        <w:t>Groundwater in sedimentary basins as potential lithium resource: a global prospective study. </w:t>
      </w:r>
      <w:r w:rsidRPr="0034644E">
        <w:rPr>
          <w:i/>
          <w:iCs/>
        </w:rPr>
        <w:t>Sci Rep</w:t>
      </w:r>
      <w:r w:rsidRPr="0034644E">
        <w:t> </w:t>
      </w:r>
      <w:r w:rsidRPr="0034644E">
        <w:rPr>
          <w:b/>
          <w:bCs/>
        </w:rPr>
        <w:t>11</w:t>
      </w:r>
      <w:r w:rsidRPr="0034644E">
        <w:t>, 21091 (2021).</w:t>
      </w:r>
    </w:p>
    <w:p w14:paraId="5326C6F3" w14:textId="77777777" w:rsidR="00D76171" w:rsidRDefault="00D76171" w:rsidP="0014018E">
      <w:pPr>
        <w:ind w:left="720" w:hanging="720"/>
      </w:pPr>
    </w:p>
    <w:p w14:paraId="11AB2B3A" w14:textId="77777777" w:rsidR="00D76171" w:rsidRPr="00465A14" w:rsidRDefault="00D76171" w:rsidP="0014018E">
      <w:pPr>
        <w:ind w:left="720" w:hanging="720"/>
      </w:pPr>
      <w:r w:rsidRPr="00852A55">
        <w:t>Eccles, D.R., Dufresne, M.B., Clarke, F.T.</w:t>
      </w:r>
      <w:r w:rsidRPr="003E3135">
        <w:t> (2019) NI 43-101 Technical Report, Geological Introduction to the Fox Creek Lithium-Brine and Metals Project, West-Central Alberta, Canada; National Instrument 43-101 Technical Report prepared for Empire Metals Corp. Available at </w:t>
      </w:r>
      <w:hyperlink r:id="rId12" w:history="1">
        <w:r w:rsidRPr="003E3135">
          <w:rPr>
            <w:rStyle w:val="Hyperlink"/>
            <w:rFonts w:eastAsia="Calibri"/>
          </w:rPr>
          <w:t>www.sedar.com</w:t>
        </w:r>
      </w:hyperlink>
      <w:r w:rsidRPr="003E3135">
        <w:t>, 198 p.</w:t>
      </w:r>
    </w:p>
    <w:p w14:paraId="6EA60677" w14:textId="77777777" w:rsidR="00D76171" w:rsidRPr="00465A14" w:rsidRDefault="00D76171" w:rsidP="0014018E">
      <w:pPr>
        <w:ind w:left="720" w:hanging="720"/>
        <w:contextualSpacing/>
      </w:pPr>
    </w:p>
    <w:p w14:paraId="7252FE7C" w14:textId="77777777" w:rsidR="00D76171" w:rsidRDefault="00D76171" w:rsidP="0014018E">
      <w:pPr>
        <w:ind w:left="720" w:hanging="720"/>
        <w:contextualSpacing/>
      </w:pPr>
      <w:r w:rsidRPr="00465A14">
        <w:t xml:space="preserve">Guidelines for Application of the Petroleum Resources Management System; 2024; Society of Petroleum Engineers; </w:t>
      </w:r>
      <w:hyperlink r:id="rId13" w:tgtFrame="_blank" w:history="1">
        <w:r w:rsidRPr="00465A14">
          <w:rPr>
            <w:rStyle w:val="Hyperlink"/>
            <w:rFonts w:eastAsia="Calibri"/>
          </w:rPr>
          <w:t>https://doi.org/10.2118/9781613999837</w:t>
        </w:r>
      </w:hyperlink>
    </w:p>
    <w:p w14:paraId="74F9D39B" w14:textId="77777777" w:rsidR="00D76171" w:rsidRDefault="00D76171" w:rsidP="0014018E">
      <w:pPr>
        <w:ind w:left="720" w:hanging="720"/>
      </w:pPr>
    </w:p>
    <w:p w14:paraId="2F37C530" w14:textId="77777777" w:rsidR="00D76171" w:rsidRPr="00465A14" w:rsidRDefault="00D76171" w:rsidP="0014018E">
      <w:pPr>
        <w:ind w:left="720" w:hanging="720"/>
      </w:pPr>
      <w:r>
        <w:lastRenderedPageBreak/>
        <w:t xml:space="preserve">Stephen E. Kesler, Paul W. Gruber, Pablo A. Medina, Gregory A. </w:t>
      </w:r>
      <w:proofErr w:type="spellStart"/>
      <w:r>
        <w:t>Keoleian</w:t>
      </w:r>
      <w:proofErr w:type="spellEnd"/>
      <w:r>
        <w:t>, Mark P. Everson, Timothy J. Wallington, Global lithium resources: Relative importance of pegmatite, brine and other deposits, Ore Geology Reviews, Volume 48, 2012, Pages 55-69</w:t>
      </w:r>
    </w:p>
    <w:p w14:paraId="0994A13A" w14:textId="77777777" w:rsidR="00D76171" w:rsidRDefault="00D76171" w:rsidP="0014018E">
      <w:pPr>
        <w:ind w:left="720" w:hanging="720"/>
        <w:contextualSpacing/>
      </w:pPr>
    </w:p>
    <w:p w14:paraId="25F9D8EE" w14:textId="77777777" w:rsidR="00D76171" w:rsidRDefault="00D76171" w:rsidP="0014018E">
      <w:pPr>
        <w:ind w:left="720" w:hanging="720"/>
        <w:contextualSpacing/>
      </w:pPr>
      <w:r w:rsidRPr="003D4A6B">
        <w:t>Mackey, J., Bain, D.J., Lackey, G. </w:t>
      </w:r>
      <w:r w:rsidRPr="003D4A6B">
        <w:rPr>
          <w:i/>
          <w:iCs/>
        </w:rPr>
        <w:t>et al.</w:t>
      </w:r>
      <w:r w:rsidRPr="003D4A6B">
        <w:t> Estimates of lithium mass yields from produced water sourced from the Devonian-aged Marcellus Shale. </w:t>
      </w:r>
      <w:r w:rsidRPr="003D4A6B">
        <w:rPr>
          <w:i/>
          <w:iCs/>
        </w:rPr>
        <w:t>Sci Rep</w:t>
      </w:r>
      <w:r w:rsidRPr="003D4A6B">
        <w:t> </w:t>
      </w:r>
      <w:r w:rsidRPr="003D4A6B">
        <w:rPr>
          <w:b/>
          <w:bCs/>
        </w:rPr>
        <w:t>14</w:t>
      </w:r>
      <w:r w:rsidRPr="003D4A6B">
        <w:t>, 8813 (2024).</w:t>
      </w:r>
    </w:p>
    <w:p w14:paraId="7D03F866" w14:textId="77777777" w:rsidR="00D76171" w:rsidRDefault="00D76171" w:rsidP="0014018E">
      <w:pPr>
        <w:ind w:left="720" w:hanging="720"/>
      </w:pPr>
    </w:p>
    <w:p w14:paraId="1C5D6E5F" w14:textId="77777777" w:rsidR="00D76171" w:rsidRPr="00465A14" w:rsidRDefault="00D76171" w:rsidP="0014018E">
      <w:pPr>
        <w:ind w:left="720" w:hanging="720"/>
      </w:pPr>
      <w:r w:rsidRPr="00465A14">
        <w:t>McKibben, M.A., and Hardie, L.A. (1997) Ore-forming brines in active continental rifts. In:</w:t>
      </w:r>
    </w:p>
    <w:p w14:paraId="475FFC2B" w14:textId="77777777" w:rsidR="00D76171" w:rsidRPr="00465A14" w:rsidRDefault="00D76171" w:rsidP="0014018E">
      <w:pPr>
        <w:ind w:left="720" w:hanging="720"/>
      </w:pPr>
      <w:r w:rsidRPr="00465A14">
        <w:t>Geochemistry of Hydrothermal Ore Deposits, H.L. Barnes, ed., Third Ed., John Wiley &amp; Sons, 877–935.</w:t>
      </w:r>
    </w:p>
    <w:p w14:paraId="4859C64D" w14:textId="77777777" w:rsidR="00D76171" w:rsidRPr="00465A14" w:rsidRDefault="00D76171" w:rsidP="0014018E">
      <w:pPr>
        <w:ind w:left="720" w:hanging="720"/>
      </w:pPr>
    </w:p>
    <w:p w14:paraId="37195928" w14:textId="77777777" w:rsidR="00D76171" w:rsidRPr="00465A14" w:rsidRDefault="00D76171" w:rsidP="0014018E">
      <w:pPr>
        <w:ind w:left="720" w:hanging="720"/>
      </w:pPr>
      <w:r w:rsidRPr="00465A14">
        <w:t xml:space="preserve">McKibben, M. A., Elders, W. A., &amp; Raju, A. S. K. (2020). Lithium and other geothermal mineral and energy resources beneath the Salton Sea. </w:t>
      </w:r>
      <w:r w:rsidRPr="00465A14">
        <w:rPr>
          <w:i/>
          <w:iCs/>
        </w:rPr>
        <w:t>Crisis at the Salton Sea: Research Gaps and Opportunities, Salton Sea Task Force, The EDGE Institute, UC Riverside</w:t>
      </w:r>
      <w:r w:rsidRPr="00465A14">
        <w:t>, 107–122.</w:t>
      </w:r>
    </w:p>
    <w:p w14:paraId="627E1D8F" w14:textId="77777777" w:rsidR="00D76171" w:rsidRDefault="00D76171" w:rsidP="0014018E">
      <w:pPr>
        <w:ind w:left="720" w:hanging="720"/>
        <w:contextualSpacing/>
      </w:pPr>
    </w:p>
    <w:p w14:paraId="1B40E279" w14:textId="77777777" w:rsidR="00D76171" w:rsidRPr="00465A14" w:rsidRDefault="00D76171" w:rsidP="0014018E">
      <w:pPr>
        <w:ind w:left="720" w:hanging="720"/>
      </w:pPr>
      <w:r w:rsidRPr="00F36E66">
        <w:t>Lee Ann Munk, David Boutt, Kristina Butler, Aeon Russo, Jordan Jenckes, Brendan Moran, Alexander Kirshen; Lithium Brines: Origin, Characteristics, and Global Distribution. </w:t>
      </w:r>
      <w:r w:rsidRPr="00F36E66">
        <w:rPr>
          <w:i/>
          <w:iCs/>
        </w:rPr>
        <w:t>Economic Geology</w:t>
      </w:r>
      <w:r w:rsidRPr="00F36E66">
        <w:t> 2025; 120 (3): 575–597</w:t>
      </w:r>
    </w:p>
    <w:p w14:paraId="233D0889" w14:textId="77777777" w:rsidR="00D76171" w:rsidRDefault="00D76171" w:rsidP="0014018E">
      <w:pPr>
        <w:ind w:left="720" w:hanging="720"/>
        <w:contextualSpacing/>
      </w:pPr>
    </w:p>
    <w:p w14:paraId="777D3BAB" w14:textId="77777777" w:rsidR="00D76171" w:rsidRPr="00465A14" w:rsidRDefault="00D76171" w:rsidP="0014018E">
      <w:pPr>
        <w:ind w:left="720" w:hanging="720"/>
      </w:pPr>
      <w:r w:rsidRPr="0009693E">
        <w:t>Lee Ann Munk, Scott A. Hynek, Dwight C. Bradley, David Boutt, Keith Labay, Hillary Jochens, 2016. "Lithium Brines: A Global Perspective", Rare Earth and Critical Elements in Ore Deposits, Philip L. Verplanck, Murray W. Hitzman</w:t>
      </w:r>
    </w:p>
    <w:p w14:paraId="1A670F67" w14:textId="77777777" w:rsidR="00D76171" w:rsidRDefault="00D76171" w:rsidP="0014018E">
      <w:pPr>
        <w:ind w:left="720" w:hanging="720"/>
        <w:contextualSpacing/>
      </w:pPr>
    </w:p>
    <w:p w14:paraId="7EC694B1" w14:textId="77777777" w:rsidR="00D76171" w:rsidRPr="00465A14" w:rsidRDefault="00D76171" w:rsidP="0014018E">
      <w:pPr>
        <w:ind w:left="720" w:hanging="720"/>
        <w:contextualSpacing/>
      </w:pPr>
      <w:r w:rsidRPr="00C6794D">
        <w:t>Panday, S., 2021; USG-Transport Version 1.7.0: The Block-</w:t>
      </w:r>
      <w:proofErr w:type="spellStart"/>
      <w:r w:rsidRPr="00C6794D">
        <w:t>Centered</w:t>
      </w:r>
      <w:proofErr w:type="spellEnd"/>
      <w:r w:rsidRPr="00C6794D">
        <w:t xml:space="preserve"> Transport Process for MODFLOW-USG, GSI Environmental, </w:t>
      </w:r>
      <w:proofErr w:type="gramStart"/>
      <w:r w:rsidRPr="00C6794D">
        <w:t>March,</w:t>
      </w:r>
      <w:proofErr w:type="gramEnd"/>
      <w:r w:rsidRPr="00C6794D">
        <w:t xml:space="preserve"> 2021 </w:t>
      </w:r>
    </w:p>
    <w:p w14:paraId="234345EF" w14:textId="77777777" w:rsidR="00D76171" w:rsidRPr="00465A14" w:rsidRDefault="00D76171" w:rsidP="0014018E">
      <w:pPr>
        <w:ind w:left="720" w:hanging="720"/>
        <w:contextualSpacing/>
      </w:pPr>
    </w:p>
    <w:p w14:paraId="66DEB092" w14:textId="77777777" w:rsidR="00D76171" w:rsidRPr="00465A14" w:rsidRDefault="00D76171" w:rsidP="0014018E">
      <w:pPr>
        <w:ind w:left="720" w:hanging="720"/>
      </w:pPr>
      <w:r>
        <w:t xml:space="preserve">Pell, Robert, </w:t>
      </w:r>
      <w:r w:rsidRPr="00465A14">
        <w:t>Grant, A</w:t>
      </w:r>
      <w:r>
        <w:t>lex, David Deak</w:t>
      </w:r>
      <w:r w:rsidRPr="00465A14">
        <w:t xml:space="preserve"> </w:t>
      </w:r>
      <w:r>
        <w:t>(</w:t>
      </w:r>
      <w:r w:rsidRPr="00465A14">
        <w:t>2020</w:t>
      </w:r>
      <w:r>
        <w:t>)</w:t>
      </w:r>
      <w:r w:rsidRPr="00465A14">
        <w:t xml:space="preserve"> Geothermal Lithium: The Final Frontier of Decarbonization; Jade Cove Partners, San Francisco, 10 pp. </w:t>
      </w:r>
    </w:p>
    <w:p w14:paraId="0828CD93" w14:textId="77777777" w:rsidR="00D76171" w:rsidRDefault="00D76171" w:rsidP="0014018E">
      <w:pPr>
        <w:ind w:left="720" w:hanging="720"/>
        <w:contextualSpacing/>
      </w:pPr>
    </w:p>
    <w:p w14:paraId="20632F89" w14:textId="77777777" w:rsidR="00D76171" w:rsidRPr="00465A14" w:rsidRDefault="00D76171" w:rsidP="0014018E">
      <w:pPr>
        <w:ind w:left="720" w:hanging="720"/>
        <w:contextualSpacing/>
      </w:pPr>
      <w:r w:rsidRPr="00465A14">
        <w:t>Petroleum Reserves and Resources Definitions</w:t>
      </w:r>
      <w:r>
        <w:t>, June 2018.</w:t>
      </w:r>
      <w:r w:rsidRPr="00465A14" w:rsidDel="00707475">
        <w:t xml:space="preserve"> </w:t>
      </w:r>
    </w:p>
    <w:p w14:paraId="182357EA" w14:textId="77777777" w:rsidR="00D76171" w:rsidRDefault="00D76171" w:rsidP="0014018E">
      <w:pPr>
        <w:ind w:left="720" w:hanging="720"/>
        <w:contextualSpacing/>
      </w:pPr>
    </w:p>
    <w:p w14:paraId="1EF067E1" w14:textId="77777777" w:rsidR="00D76171" w:rsidRDefault="00D76171" w:rsidP="0014018E">
      <w:pPr>
        <w:ind w:left="720" w:hanging="720"/>
      </w:pPr>
      <w:r>
        <w:t xml:space="preserve">B. Sanjuan, R. Millot, Ch. Innocent, Ch. </w:t>
      </w:r>
      <w:proofErr w:type="spellStart"/>
      <w:r>
        <w:t>Dezayes</w:t>
      </w:r>
      <w:proofErr w:type="spellEnd"/>
      <w:r>
        <w:t>, J. Scheiber, M. Brach,</w:t>
      </w:r>
    </w:p>
    <w:p w14:paraId="7F6064FC" w14:textId="4CACD168" w:rsidR="00D76171" w:rsidRPr="00465A14" w:rsidRDefault="00D76171" w:rsidP="0014018E">
      <w:pPr>
        <w:ind w:left="720" w:hanging="720"/>
      </w:pPr>
      <w:r>
        <w:t>Major geochemical characteristics of geothermal brines from the Upper Rhine Graben granitic basement with constraints on temperature and circulation,</w:t>
      </w:r>
      <w:r w:rsidR="00C821C2">
        <w:t xml:space="preserve"> </w:t>
      </w:r>
      <w:r w:rsidRPr="00C821C2">
        <w:rPr>
          <w:i/>
          <w:iCs/>
        </w:rPr>
        <w:t>Chemical Geology,</w:t>
      </w:r>
      <w:r>
        <w:t xml:space="preserve"> Volume 428, 2016, Pages 27-47</w:t>
      </w:r>
    </w:p>
    <w:p w14:paraId="71049B2F" w14:textId="1B91A10E" w:rsidR="00CA5D22" w:rsidRPr="00602ED9" w:rsidRDefault="00CA5D22" w:rsidP="00D76171">
      <w:pPr>
        <w:spacing w:after="120"/>
        <w:ind w:left="720" w:hanging="720"/>
        <w:jc w:val="both"/>
      </w:pPr>
    </w:p>
    <w:sectPr w:rsidR="00CA5D22" w:rsidRPr="00602ED9">
      <w:headerReference w:type="even" r:id="rId14"/>
      <w:headerReference w:type="default" r:id="rId15"/>
      <w:footerReference w:type="even" r:id="rId16"/>
      <w:footerReference w:type="default" r:id="rId17"/>
      <w:pgSz w:w="12240" w:h="15840"/>
      <w:pgMar w:top="1339" w:right="1195" w:bottom="274" w:left="1224"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1C8F1" w14:textId="77777777" w:rsidR="000D331B" w:rsidRDefault="000D331B">
      <w:r>
        <w:separator/>
      </w:r>
    </w:p>
  </w:endnote>
  <w:endnote w:type="continuationSeparator" w:id="0">
    <w:p w14:paraId="797B9B87" w14:textId="77777777" w:rsidR="000D331B" w:rsidRDefault="000D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47F91" w14:textId="77777777" w:rsidR="00CA5D22" w:rsidRDefault="00CA5D22">
    <w:pPr>
      <w:pBdr>
        <w:top w:val="nil"/>
        <w:left w:val="nil"/>
        <w:bottom w:val="nil"/>
        <w:right w:val="nil"/>
        <w:between w:val="nil"/>
      </w:pBdr>
      <w:tabs>
        <w:tab w:val="center" w:pos="4680"/>
        <w:tab w:val="right" w:pos="9360"/>
      </w:tabs>
      <w:rPr>
        <w:color w:val="000000"/>
      </w:rPr>
    </w:pPr>
  </w:p>
  <w:p w14:paraId="0E2EB1F9" w14:textId="77777777" w:rsidR="00CA5D22" w:rsidRDefault="00CA5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07B9C" w14:textId="77777777" w:rsidR="00CA5D22" w:rsidRDefault="00CA5D22">
    <w:pPr>
      <w:pBdr>
        <w:top w:val="nil"/>
        <w:left w:val="nil"/>
        <w:bottom w:val="nil"/>
        <w:right w:val="nil"/>
        <w:between w:val="nil"/>
      </w:pBdr>
      <w:tabs>
        <w:tab w:val="center" w:pos="4680"/>
        <w:tab w:val="right" w:pos="9360"/>
      </w:tabs>
      <w:jc w:val="right"/>
      <w:rPr>
        <w:color w:val="000000"/>
      </w:rPr>
    </w:pPr>
  </w:p>
  <w:p w14:paraId="1A32C22D" w14:textId="77777777" w:rsidR="00CA5D22" w:rsidRDefault="00A95283">
    <w:pPr>
      <w:pBdr>
        <w:top w:val="nil"/>
        <w:left w:val="nil"/>
        <w:bottom w:val="nil"/>
        <w:right w:val="nil"/>
        <w:between w:val="nil"/>
      </w:pBdr>
      <w:tabs>
        <w:tab w:val="center" w:pos="4680"/>
        <w:tab w:val="right" w:pos="9360"/>
      </w:tabs>
      <w:jc w:val="center"/>
      <w:rPr>
        <w:rFonts w:ascii="Calibri" w:eastAsia="Calibri" w:hAnsi="Calibri" w:cs="Calibri"/>
        <w:color w:val="404040"/>
        <w:sz w:val="20"/>
        <w:szCs w:val="20"/>
      </w:rPr>
    </w:pPr>
    <w:r>
      <w:rPr>
        <w:rFonts w:ascii="Calibri" w:eastAsia="Calibri" w:hAnsi="Calibri" w:cs="Calibri"/>
        <w:color w:val="404040"/>
        <w:sz w:val="20"/>
        <w:szCs w:val="20"/>
      </w:rPr>
      <w:fldChar w:fldCharType="begin"/>
    </w:r>
    <w:r>
      <w:rPr>
        <w:rFonts w:ascii="Calibri" w:eastAsia="Calibri" w:hAnsi="Calibri" w:cs="Calibri"/>
        <w:color w:val="404040"/>
        <w:sz w:val="20"/>
        <w:szCs w:val="20"/>
      </w:rPr>
      <w:instrText>PAGE</w:instrText>
    </w:r>
    <w:r>
      <w:rPr>
        <w:rFonts w:ascii="Calibri" w:eastAsia="Calibri" w:hAnsi="Calibri" w:cs="Calibri"/>
        <w:color w:val="404040"/>
        <w:sz w:val="20"/>
        <w:szCs w:val="20"/>
      </w:rPr>
      <w:fldChar w:fldCharType="separate"/>
    </w:r>
    <w:r w:rsidR="00DB732C">
      <w:rPr>
        <w:rFonts w:ascii="Calibri" w:eastAsia="Calibri" w:hAnsi="Calibri" w:cs="Calibri"/>
        <w:noProof/>
        <w:color w:val="404040"/>
        <w:sz w:val="20"/>
        <w:szCs w:val="20"/>
      </w:rPr>
      <w:t>1</w:t>
    </w:r>
    <w:r>
      <w:rPr>
        <w:rFonts w:ascii="Calibri" w:eastAsia="Calibri" w:hAnsi="Calibri" w:cs="Calibri"/>
        <w:color w:val="404040"/>
        <w:sz w:val="20"/>
        <w:szCs w:val="20"/>
      </w:rPr>
      <w:fldChar w:fldCharType="end"/>
    </w:r>
  </w:p>
  <w:p w14:paraId="284FFC29" w14:textId="77777777" w:rsidR="00CA5D22" w:rsidRDefault="00CA5D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D3C42" w14:textId="77777777" w:rsidR="000D331B" w:rsidRDefault="000D331B">
      <w:r>
        <w:separator/>
      </w:r>
    </w:p>
  </w:footnote>
  <w:footnote w:type="continuationSeparator" w:id="0">
    <w:p w14:paraId="309945E2" w14:textId="77777777" w:rsidR="000D331B" w:rsidRDefault="000D3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DD50" w14:textId="77777777" w:rsidR="00CA5D22" w:rsidRDefault="00CA5D22">
    <w:pPr>
      <w:pBdr>
        <w:top w:val="nil"/>
        <w:left w:val="nil"/>
        <w:bottom w:val="nil"/>
        <w:right w:val="nil"/>
        <w:between w:val="nil"/>
      </w:pBdr>
      <w:tabs>
        <w:tab w:val="center" w:pos="4680"/>
        <w:tab w:val="right" w:pos="9360"/>
      </w:tabs>
      <w:rPr>
        <w:color w:val="000000"/>
      </w:rPr>
    </w:pPr>
  </w:p>
  <w:p w14:paraId="34F80E85" w14:textId="77777777" w:rsidR="00CA5D22" w:rsidRDefault="00CA5D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2D9C" w14:textId="37C2AB1F" w:rsidR="00CA5D22" w:rsidRDefault="001058C5">
    <w:pPr>
      <w:pBdr>
        <w:top w:val="nil"/>
        <w:left w:val="nil"/>
        <w:bottom w:val="nil"/>
        <w:right w:val="nil"/>
        <w:between w:val="nil"/>
      </w:pBdr>
      <w:tabs>
        <w:tab w:val="center" w:pos="4680"/>
        <w:tab w:val="right" w:pos="9360"/>
        <w:tab w:val="left" w:pos="3420"/>
      </w:tabs>
      <w:rPr>
        <w:rFonts w:ascii="Calibri" w:eastAsia="Calibri" w:hAnsi="Calibri" w:cs="Calibri"/>
        <w:color w:val="000000"/>
      </w:rPr>
    </w:pPr>
    <w:r>
      <w:rPr>
        <w:noProof/>
        <w:lang w:val="en-CA" w:bidi="ar-SA"/>
      </w:rPr>
      <mc:AlternateContent>
        <mc:Choice Requires="wps">
          <w:drawing>
            <wp:anchor distT="0" distB="0" distL="114300" distR="114300" simplePos="0" relativeHeight="251658240" behindDoc="0" locked="0" layoutInCell="1" hidden="0" allowOverlap="1" wp14:anchorId="21DEFAED" wp14:editId="48DF92A5">
              <wp:simplePos x="0" y="0"/>
              <wp:positionH relativeFrom="margin">
                <wp:align>right</wp:align>
              </wp:positionH>
              <wp:positionV relativeFrom="paragraph">
                <wp:posOffset>393700</wp:posOffset>
              </wp:positionV>
              <wp:extent cx="6341110" cy="22225"/>
              <wp:effectExtent l="0" t="0" r="21590" b="34925"/>
              <wp:wrapNone/>
              <wp:docPr id="17" name="Straight Arrow Connector 17"/>
              <wp:cNvGraphicFramePr/>
              <a:graphic xmlns:a="http://schemas.openxmlformats.org/drawingml/2006/main">
                <a:graphicData uri="http://schemas.microsoft.com/office/word/2010/wordprocessingShape">
                  <wps:wsp>
                    <wps:cNvCnPr/>
                    <wps:spPr>
                      <a:xfrm>
                        <a:off x="0" y="0"/>
                        <a:ext cx="6341110" cy="22225"/>
                      </a:xfrm>
                      <a:prstGeom prst="straightConnector1">
                        <a:avLst/>
                      </a:prstGeom>
                      <a:noFill/>
                      <a:ln w="9525" cap="flat" cmpd="sng">
                        <a:solidFill>
                          <a:schemeClr val="accent1">
                            <a:lumMod val="75000"/>
                          </a:schemeClr>
                        </a:solidFill>
                        <a:prstDash val="solid"/>
                        <a:round/>
                        <a:headEnd type="none" w="sm" len="sm"/>
                        <a:tailEnd type="none" w="sm" len="sm"/>
                      </a:ln>
                    </wps:spPr>
                    <wps:bodyPr/>
                  </wps:wsp>
                </a:graphicData>
              </a:graphic>
            </wp:anchor>
          </w:drawing>
        </mc:Choice>
        <mc:Fallback>
          <w:pict>
            <v:shapetype w14:anchorId="71F8414A" id="_x0000_t32" coordsize="21600,21600" o:spt="32" o:oned="t" path="m,l21600,21600e" filled="f">
              <v:path arrowok="t" fillok="f" o:connecttype="none"/>
              <o:lock v:ext="edit" shapetype="t"/>
            </v:shapetype>
            <v:shape id="Straight Arrow Connector 17" o:spid="_x0000_s1026" type="#_x0000_t32" style="position:absolute;margin-left:448.1pt;margin-top:31pt;width:499.3pt;height:1.75pt;z-index:25165824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" strokecolor="#365f91 [2404]">
              <v:stroke startarrowwidth="narrow" startarrowlength="short" endarrowwidth="narrow" endarrowlength="short"/>
              <w10:wrap anchorx="margin"/>
            </v:shape>
          </w:pict>
        </mc:Fallback>
      </mc:AlternateContent>
    </w:r>
    <w:r w:rsidRPr="001058C5">
      <w:rPr>
        <w:rFonts w:ascii="Calibri" w:eastAsia="Calibri" w:hAnsi="Calibri" w:cs="Calibri"/>
        <w:sz w:val="20"/>
        <w:szCs w:val="20"/>
      </w:rPr>
      <w:t>CIM Leading Practice Guidelines for Sedimentary Basin and Geothermal Brine-Hosted Lithium Mineral Resources and Mineral Reserves Estimation</w:t>
    </w:r>
    <w:r w:rsidR="00A95283">
      <w:rPr>
        <w:rFonts w:ascii="Calibri" w:eastAsia="Calibri" w:hAnsi="Calibri" w:cs="Calibri"/>
        <w:sz w:val="20"/>
        <w:szCs w:val="20"/>
      </w:rPr>
      <w:tab/>
    </w:r>
    <w:r w:rsidR="00A95283">
      <w:rPr>
        <w:rFonts w:ascii="Calibri" w:eastAsia="Calibri" w:hAnsi="Calibri" w:cs="Calibri"/>
        <w:sz w:val="20"/>
        <w:szCs w:val="20"/>
      </w:rPr>
      <w:tab/>
    </w:r>
    <w:r w:rsidR="00A95283">
      <w:rPr>
        <w:rFonts w:ascii="Calibri" w:eastAsia="Calibri" w:hAnsi="Calibri" w:cs="Calibri"/>
        <w:color w:val="000000"/>
      </w:rPr>
      <w:tab/>
    </w:r>
    <w:r w:rsidR="00A95283">
      <w:rPr>
        <w:noProof/>
        <w:lang w:val="en-CA" w:bidi="ar-SA"/>
      </w:rPr>
      <mc:AlternateContent>
        <mc:Choice Requires="wps">
          <w:drawing>
            <wp:anchor distT="0" distB="0" distL="114300" distR="114300" simplePos="0" relativeHeight="251659264" behindDoc="0" locked="0" layoutInCell="1" hidden="0" allowOverlap="1" wp14:anchorId="640CF4B0" wp14:editId="6013F54E">
              <wp:simplePos x="0" y="0"/>
              <wp:positionH relativeFrom="column">
                <wp:posOffset>-50799</wp:posOffset>
              </wp:positionH>
              <wp:positionV relativeFrom="paragraph">
                <wp:posOffset>190500</wp:posOffset>
              </wp:positionV>
              <wp:extent cx="508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2180208" y="3777460"/>
                        <a:ext cx="6331585" cy="5080"/>
                      </a:xfrm>
                      <a:prstGeom prst="straightConnector1">
                        <a:avLst/>
                      </a:prstGeom>
                      <a:noFill/>
                      <a:ln w="9525" cap="flat" cmpd="sng">
                        <a:solidFill>
                          <a:srgbClr val="1AA2DB"/>
                        </a:solidFill>
                        <a:prstDash val="solid"/>
                        <a:round/>
                        <a:headEnd type="none" w="sm" len="sm"/>
                        <a:tailEnd type="none" w="sm" len="sm"/>
                      </a:ln>
                    </wps:spPr>
                    <wps:bodyPr/>
                  </wps:wsp>
                </a:graphicData>
              </a:graphic>
            </wp:anchor>
          </w:drawing>
        </mc:Choice>
        <mc:Fallback>
          <w:pict>
            <v:shape w14:anchorId="6DE93651" id="Straight Arrow Connector 18" o:spid="_x0000_s1026" type="#_x0000_t32" style="position:absolute;margin-left:-4pt;margin-top:15pt;width:.4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" strokecolor="#1aa2db">
              <v:stroke startarrowwidth="narrow" startarrowlength="short" endarrowwidth="narrow" endarrowlength="short"/>
            </v:shape>
          </w:pict>
        </mc:Fallback>
      </mc:AlternateContent>
    </w:r>
  </w:p>
  <w:p w14:paraId="5A2EA412" w14:textId="77777777" w:rsidR="00CA5D22" w:rsidRDefault="00CA5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307F"/>
    <w:multiLevelType w:val="hybridMultilevel"/>
    <w:tmpl w:val="8CF89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043903"/>
    <w:multiLevelType w:val="hybridMultilevel"/>
    <w:tmpl w:val="C02CF750"/>
    <w:lvl w:ilvl="0" w:tplc="10090001">
      <w:start w:val="1"/>
      <w:numFmt w:val="bullet"/>
      <w:lvlText w:val=""/>
      <w:lvlJc w:val="left"/>
      <w:pPr>
        <w:ind w:left="1797" w:hanging="360"/>
      </w:pPr>
      <w:rPr>
        <w:rFonts w:ascii="Symbol" w:hAnsi="Symbol" w:hint="default"/>
      </w:rPr>
    </w:lvl>
    <w:lvl w:ilvl="1" w:tplc="10090003" w:tentative="1">
      <w:start w:val="1"/>
      <w:numFmt w:val="bullet"/>
      <w:lvlText w:val="o"/>
      <w:lvlJc w:val="left"/>
      <w:pPr>
        <w:ind w:left="2517" w:hanging="360"/>
      </w:pPr>
      <w:rPr>
        <w:rFonts w:ascii="Courier New" w:hAnsi="Courier New" w:cs="Courier New" w:hint="default"/>
      </w:rPr>
    </w:lvl>
    <w:lvl w:ilvl="2" w:tplc="10090005" w:tentative="1">
      <w:start w:val="1"/>
      <w:numFmt w:val="bullet"/>
      <w:lvlText w:val=""/>
      <w:lvlJc w:val="left"/>
      <w:pPr>
        <w:ind w:left="3237" w:hanging="360"/>
      </w:pPr>
      <w:rPr>
        <w:rFonts w:ascii="Wingdings" w:hAnsi="Wingdings" w:hint="default"/>
      </w:rPr>
    </w:lvl>
    <w:lvl w:ilvl="3" w:tplc="10090001" w:tentative="1">
      <w:start w:val="1"/>
      <w:numFmt w:val="bullet"/>
      <w:lvlText w:val=""/>
      <w:lvlJc w:val="left"/>
      <w:pPr>
        <w:ind w:left="3957" w:hanging="360"/>
      </w:pPr>
      <w:rPr>
        <w:rFonts w:ascii="Symbol" w:hAnsi="Symbol" w:hint="default"/>
      </w:rPr>
    </w:lvl>
    <w:lvl w:ilvl="4" w:tplc="10090003" w:tentative="1">
      <w:start w:val="1"/>
      <w:numFmt w:val="bullet"/>
      <w:lvlText w:val="o"/>
      <w:lvlJc w:val="left"/>
      <w:pPr>
        <w:ind w:left="4677" w:hanging="360"/>
      </w:pPr>
      <w:rPr>
        <w:rFonts w:ascii="Courier New" w:hAnsi="Courier New" w:cs="Courier New" w:hint="default"/>
      </w:rPr>
    </w:lvl>
    <w:lvl w:ilvl="5" w:tplc="10090005" w:tentative="1">
      <w:start w:val="1"/>
      <w:numFmt w:val="bullet"/>
      <w:lvlText w:val=""/>
      <w:lvlJc w:val="left"/>
      <w:pPr>
        <w:ind w:left="5397" w:hanging="360"/>
      </w:pPr>
      <w:rPr>
        <w:rFonts w:ascii="Wingdings" w:hAnsi="Wingdings" w:hint="default"/>
      </w:rPr>
    </w:lvl>
    <w:lvl w:ilvl="6" w:tplc="10090001" w:tentative="1">
      <w:start w:val="1"/>
      <w:numFmt w:val="bullet"/>
      <w:lvlText w:val=""/>
      <w:lvlJc w:val="left"/>
      <w:pPr>
        <w:ind w:left="6117" w:hanging="360"/>
      </w:pPr>
      <w:rPr>
        <w:rFonts w:ascii="Symbol" w:hAnsi="Symbol" w:hint="default"/>
      </w:rPr>
    </w:lvl>
    <w:lvl w:ilvl="7" w:tplc="10090003" w:tentative="1">
      <w:start w:val="1"/>
      <w:numFmt w:val="bullet"/>
      <w:lvlText w:val="o"/>
      <w:lvlJc w:val="left"/>
      <w:pPr>
        <w:ind w:left="6837" w:hanging="360"/>
      </w:pPr>
      <w:rPr>
        <w:rFonts w:ascii="Courier New" w:hAnsi="Courier New" w:cs="Courier New" w:hint="default"/>
      </w:rPr>
    </w:lvl>
    <w:lvl w:ilvl="8" w:tplc="10090005" w:tentative="1">
      <w:start w:val="1"/>
      <w:numFmt w:val="bullet"/>
      <w:lvlText w:val=""/>
      <w:lvlJc w:val="left"/>
      <w:pPr>
        <w:ind w:left="7557" w:hanging="360"/>
      </w:pPr>
      <w:rPr>
        <w:rFonts w:ascii="Wingdings" w:hAnsi="Wingdings" w:hint="default"/>
      </w:rPr>
    </w:lvl>
  </w:abstractNum>
  <w:abstractNum w:abstractNumId="2" w15:restartNumberingAfterBreak="0">
    <w:nsid w:val="0DB17CE5"/>
    <w:multiLevelType w:val="multilevel"/>
    <w:tmpl w:val="7068E60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10176523"/>
    <w:multiLevelType w:val="multilevel"/>
    <w:tmpl w:val="630EAF9A"/>
    <w:lvl w:ilvl="0">
      <w:start w:val="7"/>
      <w:numFmt w:val="decimal"/>
      <w:lvlText w:val="2.%1.1."/>
      <w:lvlJc w:val="left"/>
      <w:pPr>
        <w:ind w:left="198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BA4410"/>
    <w:multiLevelType w:val="hybridMultilevel"/>
    <w:tmpl w:val="62BE854E"/>
    <w:lvl w:ilvl="0" w:tplc="10090001">
      <w:start w:val="1"/>
      <w:numFmt w:val="bullet"/>
      <w:lvlText w:val=""/>
      <w:lvlJc w:val="left"/>
      <w:pPr>
        <w:ind w:left="1230" w:hanging="360"/>
      </w:pPr>
      <w:rPr>
        <w:rFonts w:ascii="Symbol" w:hAnsi="Symbol" w:hint="default"/>
      </w:rPr>
    </w:lvl>
    <w:lvl w:ilvl="1" w:tplc="FFFFFFFF" w:tentative="1">
      <w:start w:val="1"/>
      <w:numFmt w:val="bullet"/>
      <w:lvlText w:val="o"/>
      <w:lvlJc w:val="left"/>
      <w:pPr>
        <w:ind w:left="1950" w:hanging="360"/>
      </w:pPr>
      <w:rPr>
        <w:rFonts w:ascii="Courier New" w:hAnsi="Courier New" w:cs="Courier New" w:hint="default"/>
      </w:rPr>
    </w:lvl>
    <w:lvl w:ilvl="2" w:tplc="FFFFFFFF" w:tentative="1">
      <w:start w:val="1"/>
      <w:numFmt w:val="bullet"/>
      <w:lvlText w:val=""/>
      <w:lvlJc w:val="left"/>
      <w:pPr>
        <w:ind w:left="2670" w:hanging="360"/>
      </w:pPr>
      <w:rPr>
        <w:rFonts w:ascii="Wingdings" w:hAnsi="Wingdings" w:hint="default"/>
      </w:rPr>
    </w:lvl>
    <w:lvl w:ilvl="3" w:tplc="FFFFFFFF" w:tentative="1">
      <w:start w:val="1"/>
      <w:numFmt w:val="bullet"/>
      <w:lvlText w:val=""/>
      <w:lvlJc w:val="left"/>
      <w:pPr>
        <w:ind w:left="3390" w:hanging="360"/>
      </w:pPr>
      <w:rPr>
        <w:rFonts w:ascii="Symbol" w:hAnsi="Symbol" w:hint="default"/>
      </w:rPr>
    </w:lvl>
    <w:lvl w:ilvl="4" w:tplc="FFFFFFFF" w:tentative="1">
      <w:start w:val="1"/>
      <w:numFmt w:val="bullet"/>
      <w:lvlText w:val="o"/>
      <w:lvlJc w:val="left"/>
      <w:pPr>
        <w:ind w:left="4110" w:hanging="360"/>
      </w:pPr>
      <w:rPr>
        <w:rFonts w:ascii="Courier New" w:hAnsi="Courier New" w:cs="Courier New" w:hint="default"/>
      </w:rPr>
    </w:lvl>
    <w:lvl w:ilvl="5" w:tplc="FFFFFFFF" w:tentative="1">
      <w:start w:val="1"/>
      <w:numFmt w:val="bullet"/>
      <w:lvlText w:val=""/>
      <w:lvlJc w:val="left"/>
      <w:pPr>
        <w:ind w:left="4830" w:hanging="360"/>
      </w:pPr>
      <w:rPr>
        <w:rFonts w:ascii="Wingdings" w:hAnsi="Wingdings" w:hint="default"/>
      </w:rPr>
    </w:lvl>
    <w:lvl w:ilvl="6" w:tplc="FFFFFFFF" w:tentative="1">
      <w:start w:val="1"/>
      <w:numFmt w:val="bullet"/>
      <w:lvlText w:val=""/>
      <w:lvlJc w:val="left"/>
      <w:pPr>
        <w:ind w:left="5550" w:hanging="360"/>
      </w:pPr>
      <w:rPr>
        <w:rFonts w:ascii="Symbol" w:hAnsi="Symbol" w:hint="default"/>
      </w:rPr>
    </w:lvl>
    <w:lvl w:ilvl="7" w:tplc="FFFFFFFF" w:tentative="1">
      <w:start w:val="1"/>
      <w:numFmt w:val="bullet"/>
      <w:lvlText w:val="o"/>
      <w:lvlJc w:val="left"/>
      <w:pPr>
        <w:ind w:left="6270" w:hanging="360"/>
      </w:pPr>
      <w:rPr>
        <w:rFonts w:ascii="Courier New" w:hAnsi="Courier New" w:cs="Courier New" w:hint="default"/>
      </w:rPr>
    </w:lvl>
    <w:lvl w:ilvl="8" w:tplc="FFFFFFFF" w:tentative="1">
      <w:start w:val="1"/>
      <w:numFmt w:val="bullet"/>
      <w:lvlText w:val=""/>
      <w:lvlJc w:val="left"/>
      <w:pPr>
        <w:ind w:left="6990" w:hanging="360"/>
      </w:pPr>
      <w:rPr>
        <w:rFonts w:ascii="Wingdings" w:hAnsi="Wingdings" w:hint="default"/>
      </w:rPr>
    </w:lvl>
  </w:abstractNum>
  <w:abstractNum w:abstractNumId="5" w15:restartNumberingAfterBreak="0">
    <w:nsid w:val="13C47F31"/>
    <w:multiLevelType w:val="multilevel"/>
    <w:tmpl w:val="B450F7F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17234F1E"/>
    <w:multiLevelType w:val="multilevel"/>
    <w:tmpl w:val="04B8481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175A0045"/>
    <w:multiLevelType w:val="hybridMultilevel"/>
    <w:tmpl w:val="F3745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8B25B4"/>
    <w:multiLevelType w:val="hybridMultilevel"/>
    <w:tmpl w:val="5E242A06"/>
    <w:lvl w:ilvl="0" w:tplc="10090001">
      <w:start w:val="1"/>
      <w:numFmt w:val="bullet"/>
      <w:lvlText w:val=""/>
      <w:lvlJc w:val="left"/>
      <w:pPr>
        <w:ind w:left="1797" w:hanging="360"/>
      </w:pPr>
      <w:rPr>
        <w:rFonts w:ascii="Symbol" w:hAnsi="Symbol" w:hint="default"/>
      </w:rPr>
    </w:lvl>
    <w:lvl w:ilvl="1" w:tplc="10090003" w:tentative="1">
      <w:start w:val="1"/>
      <w:numFmt w:val="bullet"/>
      <w:lvlText w:val="o"/>
      <w:lvlJc w:val="left"/>
      <w:pPr>
        <w:ind w:left="2517" w:hanging="360"/>
      </w:pPr>
      <w:rPr>
        <w:rFonts w:ascii="Courier New" w:hAnsi="Courier New" w:cs="Courier New" w:hint="default"/>
      </w:rPr>
    </w:lvl>
    <w:lvl w:ilvl="2" w:tplc="10090005" w:tentative="1">
      <w:start w:val="1"/>
      <w:numFmt w:val="bullet"/>
      <w:lvlText w:val=""/>
      <w:lvlJc w:val="left"/>
      <w:pPr>
        <w:ind w:left="3237" w:hanging="360"/>
      </w:pPr>
      <w:rPr>
        <w:rFonts w:ascii="Wingdings" w:hAnsi="Wingdings" w:hint="default"/>
      </w:rPr>
    </w:lvl>
    <w:lvl w:ilvl="3" w:tplc="10090001" w:tentative="1">
      <w:start w:val="1"/>
      <w:numFmt w:val="bullet"/>
      <w:lvlText w:val=""/>
      <w:lvlJc w:val="left"/>
      <w:pPr>
        <w:ind w:left="3957" w:hanging="360"/>
      </w:pPr>
      <w:rPr>
        <w:rFonts w:ascii="Symbol" w:hAnsi="Symbol" w:hint="default"/>
      </w:rPr>
    </w:lvl>
    <w:lvl w:ilvl="4" w:tplc="10090003" w:tentative="1">
      <w:start w:val="1"/>
      <w:numFmt w:val="bullet"/>
      <w:lvlText w:val="o"/>
      <w:lvlJc w:val="left"/>
      <w:pPr>
        <w:ind w:left="4677" w:hanging="360"/>
      </w:pPr>
      <w:rPr>
        <w:rFonts w:ascii="Courier New" w:hAnsi="Courier New" w:cs="Courier New" w:hint="default"/>
      </w:rPr>
    </w:lvl>
    <w:lvl w:ilvl="5" w:tplc="10090005" w:tentative="1">
      <w:start w:val="1"/>
      <w:numFmt w:val="bullet"/>
      <w:lvlText w:val=""/>
      <w:lvlJc w:val="left"/>
      <w:pPr>
        <w:ind w:left="5397" w:hanging="360"/>
      </w:pPr>
      <w:rPr>
        <w:rFonts w:ascii="Wingdings" w:hAnsi="Wingdings" w:hint="default"/>
      </w:rPr>
    </w:lvl>
    <w:lvl w:ilvl="6" w:tplc="10090001" w:tentative="1">
      <w:start w:val="1"/>
      <w:numFmt w:val="bullet"/>
      <w:lvlText w:val=""/>
      <w:lvlJc w:val="left"/>
      <w:pPr>
        <w:ind w:left="6117" w:hanging="360"/>
      </w:pPr>
      <w:rPr>
        <w:rFonts w:ascii="Symbol" w:hAnsi="Symbol" w:hint="default"/>
      </w:rPr>
    </w:lvl>
    <w:lvl w:ilvl="7" w:tplc="10090003" w:tentative="1">
      <w:start w:val="1"/>
      <w:numFmt w:val="bullet"/>
      <w:lvlText w:val="o"/>
      <w:lvlJc w:val="left"/>
      <w:pPr>
        <w:ind w:left="6837" w:hanging="360"/>
      </w:pPr>
      <w:rPr>
        <w:rFonts w:ascii="Courier New" w:hAnsi="Courier New" w:cs="Courier New" w:hint="default"/>
      </w:rPr>
    </w:lvl>
    <w:lvl w:ilvl="8" w:tplc="10090005" w:tentative="1">
      <w:start w:val="1"/>
      <w:numFmt w:val="bullet"/>
      <w:lvlText w:val=""/>
      <w:lvlJc w:val="left"/>
      <w:pPr>
        <w:ind w:left="7557" w:hanging="360"/>
      </w:pPr>
      <w:rPr>
        <w:rFonts w:ascii="Wingdings" w:hAnsi="Wingdings" w:hint="default"/>
      </w:rPr>
    </w:lvl>
  </w:abstractNum>
  <w:abstractNum w:abstractNumId="9" w15:restartNumberingAfterBreak="0">
    <w:nsid w:val="1A817F79"/>
    <w:multiLevelType w:val="hybridMultilevel"/>
    <w:tmpl w:val="468014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1A691D"/>
    <w:multiLevelType w:val="multilevel"/>
    <w:tmpl w:val="931C357C"/>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6E619D"/>
    <w:multiLevelType w:val="multilevel"/>
    <w:tmpl w:val="9648BABE"/>
    <w:lvl w:ilvl="0">
      <w:start w:val="6"/>
      <w:numFmt w:val="decimal"/>
      <w:lvlText w:val="2.%1.7."/>
      <w:lvlJc w:val="left"/>
      <w:pPr>
        <w:ind w:left="1980" w:hanging="540"/>
      </w:pPr>
      <w:rPr>
        <w:color w:val="365F91" w:themeColor="accent1" w:themeShade="B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47D00BE"/>
    <w:multiLevelType w:val="multilevel"/>
    <w:tmpl w:val="79B6D47A"/>
    <w:lvl w:ilvl="0">
      <w:start w:val="7"/>
      <w:numFmt w:val="decimal"/>
      <w:lvlText w:val="2.%1.2."/>
      <w:lvlJc w:val="left"/>
      <w:pPr>
        <w:ind w:left="1980" w:hanging="540"/>
      </w:pPr>
      <w:rPr>
        <w:color w:val="365F91" w:themeColor="accent1" w:themeShade="B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7B169BF"/>
    <w:multiLevelType w:val="hybridMultilevel"/>
    <w:tmpl w:val="2DC40B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C00E54"/>
    <w:multiLevelType w:val="multilevel"/>
    <w:tmpl w:val="8724081A"/>
    <w:lvl w:ilvl="0">
      <w:start w:val="7"/>
      <w:numFmt w:val="decimal"/>
      <w:pStyle w:val="Heading3"/>
      <w:lvlText w:val="2.%1.4."/>
      <w:lvlJc w:val="left"/>
      <w:pPr>
        <w:ind w:left="1980" w:hanging="540"/>
      </w:pPr>
      <w:rPr>
        <w:rFonts w:hint="default"/>
        <w:color w:val="365F91" w:themeColor="accent1" w:themeShade="BF"/>
        <w:u w:val="none"/>
      </w:rPr>
    </w:lvl>
    <w:lvl w:ilvl="1">
      <w:start w:val="1"/>
      <w:numFmt w:val="lowerLetter"/>
      <w:lvlText w:val="%2."/>
      <w:lvlJc w:val="left"/>
      <w:pPr>
        <w:ind w:left="1440" w:hanging="360"/>
      </w:pPr>
      <w:rPr>
        <w:rFonts w:hint="default"/>
        <w:u w:val="none"/>
      </w:rPr>
    </w:lvl>
    <w:lvl w:ilvl="2">
      <w:start w:val="1"/>
      <w:numFmt w:val="lowerRoman"/>
      <w:pStyle w:val="Heading4"/>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5" w15:restartNumberingAfterBreak="0">
    <w:nsid w:val="2FA92D8D"/>
    <w:multiLevelType w:val="multilevel"/>
    <w:tmpl w:val="EE1C2846"/>
    <w:lvl w:ilvl="0">
      <w:start w:val="1"/>
      <w:numFmt w:val="decimal"/>
      <w:lvlText w:val="2.%1.2."/>
      <w:lvlJc w:val="left"/>
      <w:pPr>
        <w:ind w:left="720" w:firstLine="0"/>
      </w:pPr>
      <w:rPr>
        <w:color w:val="365F91" w:themeColor="accent1" w:themeShade="BF"/>
      </w:rPr>
    </w:lvl>
    <w:lvl w:ilvl="1">
      <w:start w:val="1"/>
      <w:numFmt w:val="decimal"/>
      <w:lvlText w:val="%1.%2."/>
      <w:lvlJc w:val="right"/>
      <w:pPr>
        <w:ind w:left="1530" w:hanging="360"/>
      </w:pPr>
    </w:lvl>
    <w:lvl w:ilvl="2">
      <w:start w:val="1"/>
      <w:numFmt w:val="decimal"/>
      <w:lvlText w:val="%1.%2.%3."/>
      <w:lvlJc w:val="right"/>
      <w:pPr>
        <w:ind w:left="2250" w:hanging="180"/>
      </w:pPr>
      <w:rPr>
        <w:i w:val="0"/>
      </w:rPr>
    </w:lvl>
    <w:lvl w:ilvl="3">
      <w:start w:val="1"/>
      <w:numFmt w:val="decimal"/>
      <w:lvlText w:val="%1.%2.%3.%4."/>
      <w:lvlJc w:val="right"/>
      <w:pPr>
        <w:ind w:left="2970" w:hanging="360"/>
      </w:pPr>
    </w:lvl>
    <w:lvl w:ilvl="4">
      <w:start w:val="1"/>
      <w:numFmt w:val="decimal"/>
      <w:lvlText w:val="%1.%2.%3.%4.%5."/>
      <w:lvlJc w:val="right"/>
      <w:pPr>
        <w:ind w:left="3690" w:hanging="360"/>
      </w:pPr>
    </w:lvl>
    <w:lvl w:ilvl="5">
      <w:start w:val="1"/>
      <w:numFmt w:val="decimal"/>
      <w:lvlText w:val="%1.%2.%3.%4.%5.%6."/>
      <w:lvlJc w:val="right"/>
      <w:pPr>
        <w:ind w:left="4410" w:hanging="180"/>
      </w:pPr>
    </w:lvl>
    <w:lvl w:ilvl="6">
      <w:start w:val="1"/>
      <w:numFmt w:val="decimal"/>
      <w:lvlText w:val="%1.%2.%3.%4.%5.%6.%7."/>
      <w:lvlJc w:val="right"/>
      <w:pPr>
        <w:ind w:left="5130" w:hanging="360"/>
      </w:pPr>
    </w:lvl>
    <w:lvl w:ilvl="7">
      <w:start w:val="1"/>
      <w:numFmt w:val="decimal"/>
      <w:lvlText w:val="%1.%2.%3.%4.%5.%6.%7.%8."/>
      <w:lvlJc w:val="right"/>
      <w:pPr>
        <w:ind w:left="5850" w:hanging="360"/>
      </w:pPr>
    </w:lvl>
    <w:lvl w:ilvl="8">
      <w:start w:val="1"/>
      <w:numFmt w:val="decimal"/>
      <w:lvlText w:val="%1.%2.%3.%4.%5.%6.%7.%8.%9."/>
      <w:lvlJc w:val="right"/>
      <w:pPr>
        <w:ind w:left="6570" w:hanging="180"/>
      </w:pPr>
    </w:lvl>
  </w:abstractNum>
  <w:abstractNum w:abstractNumId="16" w15:restartNumberingAfterBreak="0">
    <w:nsid w:val="317354B5"/>
    <w:multiLevelType w:val="hybridMultilevel"/>
    <w:tmpl w:val="B26EBF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39A5145"/>
    <w:multiLevelType w:val="multilevel"/>
    <w:tmpl w:val="3B1276BA"/>
    <w:lvl w:ilvl="0">
      <w:start w:val="6"/>
      <w:numFmt w:val="decimal"/>
      <w:lvlText w:val="2.%1.6."/>
      <w:lvlJc w:val="left"/>
      <w:pPr>
        <w:ind w:left="1140" w:hanging="555"/>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0729C6"/>
    <w:multiLevelType w:val="multilevel"/>
    <w:tmpl w:val="9FD077EE"/>
    <w:lvl w:ilvl="0">
      <w:start w:val="6"/>
      <w:numFmt w:val="decimal"/>
      <w:lvlText w:val="2.%1.2."/>
      <w:lvlJc w:val="left"/>
      <w:pPr>
        <w:ind w:left="1980" w:hanging="540"/>
      </w:pPr>
      <w:rPr>
        <w:color w:val="365F91" w:themeColor="accent1" w:themeShade="B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B849C9"/>
    <w:multiLevelType w:val="hybridMultilevel"/>
    <w:tmpl w:val="B15EEB80"/>
    <w:lvl w:ilvl="0" w:tplc="10090005">
      <w:start w:val="1"/>
      <w:numFmt w:val="bullet"/>
      <w:lvlText w:val=""/>
      <w:lvlJc w:val="left"/>
      <w:pPr>
        <w:ind w:left="1230" w:hanging="360"/>
      </w:pPr>
      <w:rPr>
        <w:rFonts w:ascii="Wingdings" w:hAnsi="Wingdings" w:hint="default"/>
      </w:rPr>
    </w:lvl>
    <w:lvl w:ilvl="1" w:tplc="10090003" w:tentative="1">
      <w:start w:val="1"/>
      <w:numFmt w:val="bullet"/>
      <w:lvlText w:val="o"/>
      <w:lvlJc w:val="left"/>
      <w:pPr>
        <w:ind w:left="1950" w:hanging="360"/>
      </w:pPr>
      <w:rPr>
        <w:rFonts w:ascii="Courier New" w:hAnsi="Courier New" w:cs="Courier New" w:hint="default"/>
      </w:rPr>
    </w:lvl>
    <w:lvl w:ilvl="2" w:tplc="10090005" w:tentative="1">
      <w:start w:val="1"/>
      <w:numFmt w:val="bullet"/>
      <w:lvlText w:val=""/>
      <w:lvlJc w:val="left"/>
      <w:pPr>
        <w:ind w:left="2670" w:hanging="360"/>
      </w:pPr>
      <w:rPr>
        <w:rFonts w:ascii="Wingdings" w:hAnsi="Wingdings" w:hint="default"/>
      </w:rPr>
    </w:lvl>
    <w:lvl w:ilvl="3" w:tplc="10090001" w:tentative="1">
      <w:start w:val="1"/>
      <w:numFmt w:val="bullet"/>
      <w:lvlText w:val=""/>
      <w:lvlJc w:val="left"/>
      <w:pPr>
        <w:ind w:left="3390" w:hanging="360"/>
      </w:pPr>
      <w:rPr>
        <w:rFonts w:ascii="Symbol" w:hAnsi="Symbol" w:hint="default"/>
      </w:rPr>
    </w:lvl>
    <w:lvl w:ilvl="4" w:tplc="10090003" w:tentative="1">
      <w:start w:val="1"/>
      <w:numFmt w:val="bullet"/>
      <w:lvlText w:val="o"/>
      <w:lvlJc w:val="left"/>
      <w:pPr>
        <w:ind w:left="4110" w:hanging="360"/>
      </w:pPr>
      <w:rPr>
        <w:rFonts w:ascii="Courier New" w:hAnsi="Courier New" w:cs="Courier New" w:hint="default"/>
      </w:rPr>
    </w:lvl>
    <w:lvl w:ilvl="5" w:tplc="10090005" w:tentative="1">
      <w:start w:val="1"/>
      <w:numFmt w:val="bullet"/>
      <w:lvlText w:val=""/>
      <w:lvlJc w:val="left"/>
      <w:pPr>
        <w:ind w:left="4830" w:hanging="360"/>
      </w:pPr>
      <w:rPr>
        <w:rFonts w:ascii="Wingdings" w:hAnsi="Wingdings" w:hint="default"/>
      </w:rPr>
    </w:lvl>
    <w:lvl w:ilvl="6" w:tplc="10090001" w:tentative="1">
      <w:start w:val="1"/>
      <w:numFmt w:val="bullet"/>
      <w:lvlText w:val=""/>
      <w:lvlJc w:val="left"/>
      <w:pPr>
        <w:ind w:left="5550" w:hanging="360"/>
      </w:pPr>
      <w:rPr>
        <w:rFonts w:ascii="Symbol" w:hAnsi="Symbol" w:hint="default"/>
      </w:rPr>
    </w:lvl>
    <w:lvl w:ilvl="7" w:tplc="10090003" w:tentative="1">
      <w:start w:val="1"/>
      <w:numFmt w:val="bullet"/>
      <w:lvlText w:val="o"/>
      <w:lvlJc w:val="left"/>
      <w:pPr>
        <w:ind w:left="6270" w:hanging="360"/>
      </w:pPr>
      <w:rPr>
        <w:rFonts w:ascii="Courier New" w:hAnsi="Courier New" w:cs="Courier New" w:hint="default"/>
      </w:rPr>
    </w:lvl>
    <w:lvl w:ilvl="8" w:tplc="10090005" w:tentative="1">
      <w:start w:val="1"/>
      <w:numFmt w:val="bullet"/>
      <w:lvlText w:val=""/>
      <w:lvlJc w:val="left"/>
      <w:pPr>
        <w:ind w:left="6990" w:hanging="360"/>
      </w:pPr>
      <w:rPr>
        <w:rFonts w:ascii="Wingdings" w:hAnsi="Wingdings" w:hint="default"/>
      </w:rPr>
    </w:lvl>
  </w:abstractNum>
  <w:abstractNum w:abstractNumId="20" w15:restartNumberingAfterBreak="0">
    <w:nsid w:val="3C096035"/>
    <w:multiLevelType w:val="multilevel"/>
    <w:tmpl w:val="1EFC17A6"/>
    <w:lvl w:ilvl="0">
      <w:start w:val="6"/>
      <w:numFmt w:val="decimal"/>
      <w:lvlText w:val="2.%1.3."/>
      <w:lvlJc w:val="left"/>
      <w:pPr>
        <w:ind w:left="198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2F339AB"/>
    <w:multiLevelType w:val="multilevel"/>
    <w:tmpl w:val="EF9A9D24"/>
    <w:lvl w:ilvl="0">
      <w:start w:val="1"/>
      <w:numFmt w:val="decimal"/>
      <w:lvlText w:val="2.%1.4."/>
      <w:lvlJc w:val="left"/>
      <w:pPr>
        <w:ind w:left="540" w:firstLine="0"/>
      </w:pPr>
      <w:rPr>
        <w:rFonts w:ascii="Times New Roman" w:eastAsia="Times New Roman" w:hAnsi="Times New Roman" w:cs="Times New Roman"/>
        <w:b w:val="0"/>
        <w:color w:val="365F91" w:themeColor="accent1" w:themeShade="BF"/>
      </w:rPr>
    </w:lvl>
    <w:lvl w:ilvl="1">
      <w:start w:val="1"/>
      <w:numFmt w:val="decimal"/>
      <w:lvlText w:val="%1.%2."/>
      <w:lvlJc w:val="right"/>
      <w:pPr>
        <w:ind w:left="1530" w:hanging="360"/>
      </w:pPr>
    </w:lvl>
    <w:lvl w:ilvl="2">
      <w:start w:val="1"/>
      <w:numFmt w:val="decimal"/>
      <w:lvlText w:val="%1.%2.%3."/>
      <w:lvlJc w:val="right"/>
      <w:pPr>
        <w:ind w:left="2250" w:hanging="180"/>
      </w:pPr>
      <w:rPr>
        <w:i w:val="0"/>
      </w:rPr>
    </w:lvl>
    <w:lvl w:ilvl="3">
      <w:start w:val="1"/>
      <w:numFmt w:val="decimal"/>
      <w:lvlText w:val="%1.%2.%3.%4."/>
      <w:lvlJc w:val="right"/>
      <w:pPr>
        <w:ind w:left="2970" w:hanging="360"/>
      </w:pPr>
    </w:lvl>
    <w:lvl w:ilvl="4">
      <w:start w:val="1"/>
      <w:numFmt w:val="decimal"/>
      <w:lvlText w:val="%1.%2.%3.%4.%5."/>
      <w:lvlJc w:val="right"/>
      <w:pPr>
        <w:ind w:left="3690" w:hanging="360"/>
      </w:pPr>
    </w:lvl>
    <w:lvl w:ilvl="5">
      <w:start w:val="1"/>
      <w:numFmt w:val="decimal"/>
      <w:lvlText w:val="%1.%2.%3.%4.%5.%6."/>
      <w:lvlJc w:val="right"/>
      <w:pPr>
        <w:ind w:left="4410" w:hanging="180"/>
      </w:pPr>
    </w:lvl>
    <w:lvl w:ilvl="6">
      <w:start w:val="1"/>
      <w:numFmt w:val="decimal"/>
      <w:lvlText w:val="%1.%2.%3.%4.%5.%6.%7."/>
      <w:lvlJc w:val="right"/>
      <w:pPr>
        <w:ind w:left="5130" w:hanging="360"/>
      </w:pPr>
    </w:lvl>
    <w:lvl w:ilvl="7">
      <w:start w:val="1"/>
      <w:numFmt w:val="decimal"/>
      <w:lvlText w:val="%1.%2.%3.%4.%5.%6.%7.%8."/>
      <w:lvlJc w:val="right"/>
      <w:pPr>
        <w:ind w:left="5850" w:hanging="360"/>
      </w:pPr>
    </w:lvl>
    <w:lvl w:ilvl="8">
      <w:start w:val="1"/>
      <w:numFmt w:val="decimal"/>
      <w:lvlText w:val="%1.%2.%3.%4.%5.%6.%7.%8.%9."/>
      <w:lvlJc w:val="right"/>
      <w:pPr>
        <w:ind w:left="6570" w:hanging="180"/>
      </w:pPr>
    </w:lvl>
  </w:abstractNum>
  <w:abstractNum w:abstractNumId="22" w15:restartNumberingAfterBreak="0">
    <w:nsid w:val="437A530E"/>
    <w:multiLevelType w:val="multilevel"/>
    <w:tmpl w:val="DD384628"/>
    <w:lvl w:ilvl="0">
      <w:start w:val="6"/>
      <w:numFmt w:val="decimal"/>
      <w:lvlText w:val="2.%1.4."/>
      <w:lvlJc w:val="left"/>
      <w:pPr>
        <w:ind w:left="1980" w:hanging="540"/>
      </w:pPr>
      <w:rPr>
        <w:color w:val="365F91" w:themeColor="accent1" w:themeShade="B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651462D"/>
    <w:multiLevelType w:val="multilevel"/>
    <w:tmpl w:val="F992E36A"/>
    <w:lvl w:ilvl="0">
      <w:start w:val="6"/>
      <w:numFmt w:val="decimal"/>
      <w:lvlText w:val="2.%1.1."/>
      <w:lvlJc w:val="right"/>
      <w:pPr>
        <w:ind w:left="2250" w:hanging="180"/>
      </w:pPr>
      <w:rPr>
        <w:u w:val="none"/>
      </w:rPr>
    </w:lvl>
    <w:lvl w:ilvl="1">
      <w:start w:val="1"/>
      <w:numFmt w:val="decimal"/>
      <w:lvlText w:val="2.%1.%2.1."/>
      <w:lvlJc w:val="right"/>
      <w:pPr>
        <w:ind w:left="2160" w:hanging="360"/>
      </w:pPr>
      <w:rPr>
        <w:u w:val="none"/>
      </w:rPr>
    </w:lvl>
    <w:lvl w:ilvl="2">
      <w:start w:val="1"/>
      <w:numFmt w:val="decimal"/>
      <w:lvlText w:val="2.%1.%2.%3.1."/>
      <w:lvlJc w:val="right"/>
      <w:pPr>
        <w:ind w:left="2880" w:hanging="360"/>
      </w:pPr>
      <w:rPr>
        <w:u w:val="none"/>
      </w:rPr>
    </w:lvl>
    <w:lvl w:ilvl="3">
      <w:start w:val="1"/>
      <w:numFmt w:val="decimal"/>
      <w:lvlText w:val="2.%1.%2.%3.%4.1."/>
      <w:lvlJc w:val="right"/>
      <w:pPr>
        <w:ind w:left="3600" w:hanging="360"/>
      </w:pPr>
      <w:rPr>
        <w:u w:val="none"/>
      </w:rPr>
    </w:lvl>
    <w:lvl w:ilvl="4">
      <w:start w:val="1"/>
      <w:numFmt w:val="decimal"/>
      <w:lvlText w:val="2.%1.%2.%3.%4.%5.1."/>
      <w:lvlJc w:val="right"/>
      <w:pPr>
        <w:ind w:left="4320" w:hanging="360"/>
      </w:pPr>
      <w:rPr>
        <w:u w:val="none"/>
      </w:rPr>
    </w:lvl>
    <w:lvl w:ilvl="5">
      <w:start w:val="1"/>
      <w:numFmt w:val="decimal"/>
      <w:lvlText w:val="2.%1.%2.%3.%4.%5.%6.1."/>
      <w:lvlJc w:val="right"/>
      <w:pPr>
        <w:ind w:left="5040" w:hanging="360"/>
      </w:pPr>
      <w:rPr>
        <w:u w:val="none"/>
      </w:rPr>
    </w:lvl>
    <w:lvl w:ilvl="6">
      <w:start w:val="1"/>
      <w:numFmt w:val="decimal"/>
      <w:lvlText w:val="2.%1.%2.%3.%4.%5.%6.%7.1."/>
      <w:lvlJc w:val="right"/>
      <w:pPr>
        <w:ind w:left="5760" w:hanging="360"/>
      </w:pPr>
      <w:rPr>
        <w:u w:val="none"/>
      </w:rPr>
    </w:lvl>
    <w:lvl w:ilvl="7">
      <w:start w:val="1"/>
      <w:numFmt w:val="decimal"/>
      <w:lvlText w:val="2.%1.%2.%3.%4.%5.%6.%7.%8.1."/>
      <w:lvlJc w:val="right"/>
      <w:pPr>
        <w:ind w:left="6480" w:hanging="360"/>
      </w:pPr>
      <w:rPr>
        <w:u w:val="none"/>
      </w:rPr>
    </w:lvl>
    <w:lvl w:ilvl="8">
      <w:start w:val="1"/>
      <w:numFmt w:val="decimal"/>
      <w:lvlText w:val="2.%1.%2.%3.%4.%5.%6.%7.%8.%9.1."/>
      <w:lvlJc w:val="right"/>
      <w:pPr>
        <w:ind w:left="7200" w:hanging="360"/>
      </w:pPr>
      <w:rPr>
        <w:u w:val="none"/>
      </w:rPr>
    </w:lvl>
  </w:abstractNum>
  <w:abstractNum w:abstractNumId="24" w15:restartNumberingAfterBreak="0">
    <w:nsid w:val="48842BBC"/>
    <w:multiLevelType w:val="multilevel"/>
    <w:tmpl w:val="276CD9C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4D3063F4"/>
    <w:multiLevelType w:val="hybridMultilevel"/>
    <w:tmpl w:val="A09CF2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2AD5CC6"/>
    <w:multiLevelType w:val="hybridMultilevel"/>
    <w:tmpl w:val="DB8AE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CD0DBF"/>
    <w:multiLevelType w:val="hybridMultilevel"/>
    <w:tmpl w:val="1748818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10090005">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46D03FA"/>
    <w:multiLevelType w:val="multilevel"/>
    <w:tmpl w:val="211EF82C"/>
    <w:lvl w:ilvl="0">
      <w:start w:val="1"/>
      <w:numFmt w:val="none"/>
      <w:lvlText w:val="4.14.1."/>
      <w:lvlJc w:val="right"/>
      <w:pPr>
        <w:ind w:left="1440" w:hanging="62"/>
      </w:pPr>
      <w:rPr>
        <w:rFonts w:hint="default"/>
        <w:color w:val="365F91" w:themeColor="accent1" w:themeShade="BF"/>
      </w:rPr>
    </w:lvl>
    <w:lvl w:ilvl="1">
      <w:start w:val="1"/>
      <w:numFmt w:val="decimal"/>
      <w:lvlText w:val="2.%1.%2."/>
      <w:lvlJc w:val="right"/>
      <w:pPr>
        <w:ind w:left="1530" w:hanging="360"/>
      </w:pPr>
      <w:rPr>
        <w:rFonts w:hint="default"/>
      </w:rPr>
    </w:lvl>
    <w:lvl w:ilvl="2">
      <w:start w:val="1"/>
      <w:numFmt w:val="decimal"/>
      <w:lvlText w:val="2.%1.%2.%3."/>
      <w:lvlJc w:val="right"/>
      <w:pPr>
        <w:ind w:left="1710" w:firstLine="0"/>
      </w:pPr>
      <w:rPr>
        <w:rFonts w:ascii="Times New Roman" w:eastAsia="Times New Roman" w:hAnsi="Times New Roman" w:cs="Times New Roman" w:hint="default"/>
        <w:b w:val="0"/>
        <w:i w:val="0"/>
        <w:color w:val="365F91" w:themeColor="accent1" w:themeShade="BF"/>
      </w:rPr>
    </w:lvl>
    <w:lvl w:ilvl="3">
      <w:start w:val="1"/>
      <w:numFmt w:val="decimal"/>
      <w:lvlText w:val="2.%1.%2.%3.%4."/>
      <w:lvlJc w:val="right"/>
      <w:pPr>
        <w:ind w:left="2970" w:hanging="360"/>
      </w:pPr>
      <w:rPr>
        <w:rFonts w:hint="default"/>
      </w:rPr>
    </w:lvl>
    <w:lvl w:ilvl="4">
      <w:start w:val="1"/>
      <w:numFmt w:val="decimal"/>
      <w:lvlText w:val="2.%1.%2.%3.%4.%5."/>
      <w:lvlJc w:val="right"/>
      <w:pPr>
        <w:ind w:left="3690" w:hanging="360"/>
      </w:pPr>
      <w:rPr>
        <w:rFonts w:hint="default"/>
      </w:rPr>
    </w:lvl>
    <w:lvl w:ilvl="5">
      <w:start w:val="1"/>
      <w:numFmt w:val="decimal"/>
      <w:lvlText w:val="2.%1.%2.%3.%4.%5.%6."/>
      <w:lvlJc w:val="right"/>
      <w:pPr>
        <w:ind w:left="4410" w:hanging="180"/>
      </w:pPr>
      <w:rPr>
        <w:rFonts w:hint="default"/>
      </w:rPr>
    </w:lvl>
    <w:lvl w:ilvl="6">
      <w:start w:val="1"/>
      <w:numFmt w:val="decimal"/>
      <w:lvlText w:val="2.%1.%2.%3.%4.%5.%6.%7."/>
      <w:lvlJc w:val="right"/>
      <w:pPr>
        <w:ind w:left="5130" w:hanging="360"/>
      </w:pPr>
      <w:rPr>
        <w:rFonts w:hint="default"/>
      </w:rPr>
    </w:lvl>
    <w:lvl w:ilvl="7">
      <w:start w:val="1"/>
      <w:numFmt w:val="decimal"/>
      <w:lvlText w:val="2.%1.%2.%3.%4.%5.%6.%7.%8."/>
      <w:lvlJc w:val="right"/>
      <w:pPr>
        <w:ind w:left="5850" w:hanging="360"/>
      </w:pPr>
      <w:rPr>
        <w:rFonts w:hint="default"/>
      </w:rPr>
    </w:lvl>
    <w:lvl w:ilvl="8">
      <w:start w:val="1"/>
      <w:numFmt w:val="decimal"/>
      <w:lvlText w:val="2.%1.%2.%3.%4.%5.%6.%7.%8.%9."/>
      <w:lvlJc w:val="right"/>
      <w:pPr>
        <w:ind w:left="6570" w:hanging="180"/>
      </w:pPr>
      <w:rPr>
        <w:rFonts w:hint="default"/>
      </w:rPr>
    </w:lvl>
  </w:abstractNum>
  <w:abstractNum w:abstractNumId="29" w15:restartNumberingAfterBreak="0">
    <w:nsid w:val="661B775E"/>
    <w:multiLevelType w:val="hybridMultilevel"/>
    <w:tmpl w:val="529448F4"/>
    <w:lvl w:ilvl="0" w:tplc="38B25690">
      <w:numFmt w:val="bullet"/>
      <w:lvlText w:val="•"/>
      <w:lvlJc w:val="left"/>
      <w:pPr>
        <w:ind w:left="1080" w:hanging="72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7806CAA"/>
    <w:multiLevelType w:val="hybridMultilevel"/>
    <w:tmpl w:val="2B0CE7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97C190A"/>
    <w:multiLevelType w:val="multilevel"/>
    <w:tmpl w:val="CF84A42A"/>
    <w:lvl w:ilvl="0">
      <w:start w:val="1"/>
      <w:numFmt w:val="decimal"/>
      <w:lvlText w:val="2.%1.3."/>
      <w:lvlJc w:val="left"/>
      <w:pPr>
        <w:ind w:left="720" w:firstLine="0"/>
      </w:pPr>
      <w:rPr>
        <w:rFonts w:ascii="Times New Roman" w:eastAsia="Times New Roman" w:hAnsi="Times New Roman" w:cs="Times New Roman"/>
        <w:b w:val="0"/>
        <w:color w:val="365F91" w:themeColor="accent1" w:themeShade="BF"/>
      </w:rPr>
    </w:lvl>
    <w:lvl w:ilvl="1">
      <w:start w:val="1"/>
      <w:numFmt w:val="decimal"/>
      <w:lvlText w:val="%1.%2."/>
      <w:lvlJc w:val="right"/>
      <w:pPr>
        <w:ind w:left="1530" w:hanging="360"/>
      </w:pPr>
    </w:lvl>
    <w:lvl w:ilvl="2">
      <w:start w:val="1"/>
      <w:numFmt w:val="decimal"/>
      <w:lvlText w:val="%1.%2.%3."/>
      <w:lvlJc w:val="right"/>
      <w:pPr>
        <w:ind w:left="2250" w:hanging="180"/>
      </w:pPr>
      <w:rPr>
        <w:i w:val="0"/>
      </w:rPr>
    </w:lvl>
    <w:lvl w:ilvl="3">
      <w:start w:val="1"/>
      <w:numFmt w:val="decimal"/>
      <w:lvlText w:val="%1.%2.%3.%4."/>
      <w:lvlJc w:val="right"/>
      <w:pPr>
        <w:ind w:left="2970" w:hanging="360"/>
      </w:pPr>
    </w:lvl>
    <w:lvl w:ilvl="4">
      <w:start w:val="1"/>
      <w:numFmt w:val="decimal"/>
      <w:lvlText w:val="%1.%2.%3.%4.%5."/>
      <w:lvlJc w:val="right"/>
      <w:pPr>
        <w:ind w:left="3690" w:hanging="360"/>
      </w:pPr>
    </w:lvl>
    <w:lvl w:ilvl="5">
      <w:start w:val="1"/>
      <w:numFmt w:val="decimal"/>
      <w:lvlText w:val="%1.%2.%3.%4.%5.%6."/>
      <w:lvlJc w:val="right"/>
      <w:pPr>
        <w:ind w:left="4410" w:hanging="180"/>
      </w:pPr>
    </w:lvl>
    <w:lvl w:ilvl="6">
      <w:start w:val="1"/>
      <w:numFmt w:val="decimal"/>
      <w:lvlText w:val="%1.%2.%3.%4.%5.%6.%7."/>
      <w:lvlJc w:val="right"/>
      <w:pPr>
        <w:ind w:left="5130" w:hanging="360"/>
      </w:pPr>
    </w:lvl>
    <w:lvl w:ilvl="7">
      <w:start w:val="1"/>
      <w:numFmt w:val="decimal"/>
      <w:lvlText w:val="%1.%2.%3.%4.%5.%6.%7.%8."/>
      <w:lvlJc w:val="right"/>
      <w:pPr>
        <w:ind w:left="5850" w:hanging="360"/>
      </w:pPr>
    </w:lvl>
    <w:lvl w:ilvl="8">
      <w:start w:val="1"/>
      <w:numFmt w:val="decimal"/>
      <w:lvlText w:val="%1.%2.%3.%4.%5.%6.%7.%8.%9."/>
      <w:lvlJc w:val="right"/>
      <w:pPr>
        <w:ind w:left="6570" w:hanging="180"/>
      </w:pPr>
    </w:lvl>
  </w:abstractNum>
  <w:abstractNum w:abstractNumId="32" w15:restartNumberingAfterBreak="0">
    <w:nsid w:val="6AFC0A81"/>
    <w:multiLevelType w:val="multilevel"/>
    <w:tmpl w:val="7D0E14EC"/>
    <w:lvl w:ilvl="0">
      <w:start w:val="7"/>
      <w:numFmt w:val="decimal"/>
      <w:lvlText w:val="2.%1.3."/>
      <w:lvlJc w:val="left"/>
      <w:pPr>
        <w:ind w:left="1980" w:hanging="540"/>
      </w:pPr>
      <w:rPr>
        <w:color w:val="365F91" w:themeColor="accent1" w:themeShade="B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CE67248"/>
    <w:multiLevelType w:val="hybridMultilevel"/>
    <w:tmpl w:val="0FC432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6EC662C4"/>
    <w:multiLevelType w:val="multilevel"/>
    <w:tmpl w:val="ED1E5A90"/>
    <w:lvl w:ilvl="0">
      <w:start w:val="1"/>
      <w:numFmt w:val="none"/>
      <w:lvlText w:val="4.14.2."/>
      <w:lvlJc w:val="right"/>
      <w:pPr>
        <w:ind w:left="1440" w:hanging="62"/>
      </w:pPr>
      <w:rPr>
        <w:rFonts w:hint="default"/>
        <w:color w:val="365F91" w:themeColor="accent1" w:themeShade="BF"/>
      </w:rPr>
    </w:lvl>
    <w:lvl w:ilvl="1">
      <w:start w:val="1"/>
      <w:numFmt w:val="decimal"/>
      <w:lvlText w:val="2.%1.%2."/>
      <w:lvlJc w:val="right"/>
      <w:pPr>
        <w:ind w:left="1530" w:hanging="360"/>
      </w:pPr>
      <w:rPr>
        <w:rFonts w:hint="default"/>
      </w:rPr>
    </w:lvl>
    <w:lvl w:ilvl="2">
      <w:start w:val="1"/>
      <w:numFmt w:val="decimal"/>
      <w:lvlText w:val="2.%1.%2.%3."/>
      <w:lvlJc w:val="right"/>
      <w:pPr>
        <w:ind w:left="1710" w:firstLine="0"/>
      </w:pPr>
      <w:rPr>
        <w:rFonts w:ascii="Times New Roman" w:eastAsia="Times New Roman" w:hAnsi="Times New Roman" w:cs="Times New Roman" w:hint="default"/>
        <w:b w:val="0"/>
        <w:i w:val="0"/>
        <w:color w:val="365F91" w:themeColor="accent1" w:themeShade="BF"/>
      </w:rPr>
    </w:lvl>
    <w:lvl w:ilvl="3">
      <w:start w:val="1"/>
      <w:numFmt w:val="decimal"/>
      <w:lvlText w:val="2.%1.%2.%3.%4."/>
      <w:lvlJc w:val="right"/>
      <w:pPr>
        <w:ind w:left="2970" w:hanging="360"/>
      </w:pPr>
      <w:rPr>
        <w:rFonts w:hint="default"/>
      </w:rPr>
    </w:lvl>
    <w:lvl w:ilvl="4">
      <w:start w:val="1"/>
      <w:numFmt w:val="decimal"/>
      <w:lvlText w:val="2.%1.%2.%3.%4.%5."/>
      <w:lvlJc w:val="right"/>
      <w:pPr>
        <w:ind w:left="3690" w:hanging="360"/>
      </w:pPr>
      <w:rPr>
        <w:rFonts w:hint="default"/>
      </w:rPr>
    </w:lvl>
    <w:lvl w:ilvl="5">
      <w:start w:val="1"/>
      <w:numFmt w:val="decimal"/>
      <w:lvlText w:val="2.%1.%2.%3.%4.%5.%6."/>
      <w:lvlJc w:val="right"/>
      <w:pPr>
        <w:ind w:left="4410" w:hanging="180"/>
      </w:pPr>
      <w:rPr>
        <w:rFonts w:hint="default"/>
      </w:rPr>
    </w:lvl>
    <w:lvl w:ilvl="6">
      <w:start w:val="1"/>
      <w:numFmt w:val="decimal"/>
      <w:lvlText w:val="2.%1.%2.%3.%4.%5.%6.%7."/>
      <w:lvlJc w:val="right"/>
      <w:pPr>
        <w:ind w:left="5130" w:hanging="360"/>
      </w:pPr>
      <w:rPr>
        <w:rFonts w:hint="default"/>
      </w:rPr>
    </w:lvl>
    <w:lvl w:ilvl="7">
      <w:start w:val="1"/>
      <w:numFmt w:val="decimal"/>
      <w:lvlText w:val="2.%1.%2.%3.%4.%5.%6.%7.%8."/>
      <w:lvlJc w:val="right"/>
      <w:pPr>
        <w:ind w:left="5850" w:hanging="360"/>
      </w:pPr>
      <w:rPr>
        <w:rFonts w:hint="default"/>
      </w:rPr>
    </w:lvl>
    <w:lvl w:ilvl="8">
      <w:start w:val="1"/>
      <w:numFmt w:val="decimal"/>
      <w:lvlText w:val="2.%1.%2.%3.%4.%5.%6.%7.%8.%9."/>
      <w:lvlJc w:val="right"/>
      <w:pPr>
        <w:ind w:left="6570" w:hanging="180"/>
      </w:pPr>
      <w:rPr>
        <w:rFonts w:hint="default"/>
      </w:rPr>
    </w:lvl>
  </w:abstractNum>
  <w:abstractNum w:abstractNumId="35" w15:restartNumberingAfterBreak="0">
    <w:nsid w:val="76086537"/>
    <w:multiLevelType w:val="hybridMultilevel"/>
    <w:tmpl w:val="96E8C76C"/>
    <w:lvl w:ilvl="0" w:tplc="10090001">
      <w:start w:val="1"/>
      <w:numFmt w:val="bullet"/>
      <w:lvlText w:val=""/>
      <w:lvlJc w:val="left"/>
      <w:pPr>
        <w:ind w:left="1797" w:hanging="360"/>
      </w:pPr>
      <w:rPr>
        <w:rFonts w:ascii="Symbol" w:hAnsi="Symbol" w:hint="default"/>
      </w:rPr>
    </w:lvl>
    <w:lvl w:ilvl="1" w:tplc="10090003" w:tentative="1">
      <w:start w:val="1"/>
      <w:numFmt w:val="bullet"/>
      <w:lvlText w:val="o"/>
      <w:lvlJc w:val="left"/>
      <w:pPr>
        <w:ind w:left="2517" w:hanging="360"/>
      </w:pPr>
      <w:rPr>
        <w:rFonts w:ascii="Courier New" w:hAnsi="Courier New" w:cs="Courier New" w:hint="default"/>
      </w:rPr>
    </w:lvl>
    <w:lvl w:ilvl="2" w:tplc="10090005" w:tentative="1">
      <w:start w:val="1"/>
      <w:numFmt w:val="bullet"/>
      <w:lvlText w:val=""/>
      <w:lvlJc w:val="left"/>
      <w:pPr>
        <w:ind w:left="3237" w:hanging="360"/>
      </w:pPr>
      <w:rPr>
        <w:rFonts w:ascii="Wingdings" w:hAnsi="Wingdings" w:hint="default"/>
      </w:rPr>
    </w:lvl>
    <w:lvl w:ilvl="3" w:tplc="10090001" w:tentative="1">
      <w:start w:val="1"/>
      <w:numFmt w:val="bullet"/>
      <w:lvlText w:val=""/>
      <w:lvlJc w:val="left"/>
      <w:pPr>
        <w:ind w:left="3957" w:hanging="360"/>
      </w:pPr>
      <w:rPr>
        <w:rFonts w:ascii="Symbol" w:hAnsi="Symbol" w:hint="default"/>
      </w:rPr>
    </w:lvl>
    <w:lvl w:ilvl="4" w:tplc="10090003" w:tentative="1">
      <w:start w:val="1"/>
      <w:numFmt w:val="bullet"/>
      <w:lvlText w:val="o"/>
      <w:lvlJc w:val="left"/>
      <w:pPr>
        <w:ind w:left="4677" w:hanging="360"/>
      </w:pPr>
      <w:rPr>
        <w:rFonts w:ascii="Courier New" w:hAnsi="Courier New" w:cs="Courier New" w:hint="default"/>
      </w:rPr>
    </w:lvl>
    <w:lvl w:ilvl="5" w:tplc="10090005" w:tentative="1">
      <w:start w:val="1"/>
      <w:numFmt w:val="bullet"/>
      <w:lvlText w:val=""/>
      <w:lvlJc w:val="left"/>
      <w:pPr>
        <w:ind w:left="5397" w:hanging="360"/>
      </w:pPr>
      <w:rPr>
        <w:rFonts w:ascii="Wingdings" w:hAnsi="Wingdings" w:hint="default"/>
      </w:rPr>
    </w:lvl>
    <w:lvl w:ilvl="6" w:tplc="10090001" w:tentative="1">
      <w:start w:val="1"/>
      <w:numFmt w:val="bullet"/>
      <w:lvlText w:val=""/>
      <w:lvlJc w:val="left"/>
      <w:pPr>
        <w:ind w:left="6117" w:hanging="360"/>
      </w:pPr>
      <w:rPr>
        <w:rFonts w:ascii="Symbol" w:hAnsi="Symbol" w:hint="default"/>
      </w:rPr>
    </w:lvl>
    <w:lvl w:ilvl="7" w:tplc="10090003" w:tentative="1">
      <w:start w:val="1"/>
      <w:numFmt w:val="bullet"/>
      <w:lvlText w:val="o"/>
      <w:lvlJc w:val="left"/>
      <w:pPr>
        <w:ind w:left="6837" w:hanging="360"/>
      </w:pPr>
      <w:rPr>
        <w:rFonts w:ascii="Courier New" w:hAnsi="Courier New" w:cs="Courier New" w:hint="default"/>
      </w:rPr>
    </w:lvl>
    <w:lvl w:ilvl="8" w:tplc="10090005" w:tentative="1">
      <w:start w:val="1"/>
      <w:numFmt w:val="bullet"/>
      <w:lvlText w:val=""/>
      <w:lvlJc w:val="left"/>
      <w:pPr>
        <w:ind w:left="7557" w:hanging="360"/>
      </w:pPr>
      <w:rPr>
        <w:rFonts w:ascii="Wingdings" w:hAnsi="Wingdings" w:hint="default"/>
      </w:rPr>
    </w:lvl>
  </w:abstractNum>
  <w:abstractNum w:abstractNumId="36" w15:restartNumberingAfterBreak="0">
    <w:nsid w:val="7BB474F2"/>
    <w:multiLevelType w:val="hybridMultilevel"/>
    <w:tmpl w:val="7084E1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1467345">
    <w:abstractNumId w:val="17"/>
  </w:num>
  <w:num w:numId="2" w16cid:durableId="1934778479">
    <w:abstractNumId w:val="22"/>
  </w:num>
  <w:num w:numId="3" w16cid:durableId="1092050871">
    <w:abstractNumId w:val="12"/>
  </w:num>
  <w:num w:numId="4" w16cid:durableId="33162073">
    <w:abstractNumId w:val="15"/>
  </w:num>
  <w:num w:numId="5" w16cid:durableId="913508080">
    <w:abstractNumId w:val="11"/>
  </w:num>
  <w:num w:numId="6" w16cid:durableId="588347722">
    <w:abstractNumId w:val="18"/>
  </w:num>
  <w:num w:numId="7" w16cid:durableId="767000536">
    <w:abstractNumId w:val="3"/>
  </w:num>
  <w:num w:numId="8" w16cid:durableId="699742952">
    <w:abstractNumId w:val="6"/>
  </w:num>
  <w:num w:numId="9" w16cid:durableId="379405211">
    <w:abstractNumId w:val="28"/>
  </w:num>
  <w:num w:numId="10" w16cid:durableId="1267033180">
    <w:abstractNumId w:val="24"/>
  </w:num>
  <w:num w:numId="11" w16cid:durableId="753627221">
    <w:abstractNumId w:val="21"/>
  </w:num>
  <w:num w:numId="12" w16cid:durableId="39743416">
    <w:abstractNumId w:val="32"/>
  </w:num>
  <w:num w:numId="13" w16cid:durableId="830371017">
    <w:abstractNumId w:val="31"/>
  </w:num>
  <w:num w:numId="14" w16cid:durableId="1661619726">
    <w:abstractNumId w:val="2"/>
  </w:num>
  <w:num w:numId="15" w16cid:durableId="1589775139">
    <w:abstractNumId w:val="5"/>
  </w:num>
  <w:num w:numId="16" w16cid:durableId="438378017">
    <w:abstractNumId w:val="14"/>
  </w:num>
  <w:num w:numId="17" w16cid:durableId="1116682638">
    <w:abstractNumId w:val="20"/>
  </w:num>
  <w:num w:numId="18" w16cid:durableId="106699492">
    <w:abstractNumId w:val="23"/>
  </w:num>
  <w:num w:numId="19" w16cid:durableId="1776098007">
    <w:abstractNumId w:val="10"/>
  </w:num>
  <w:num w:numId="20" w16cid:durableId="38437148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5347231">
    <w:abstractNumId w:val="29"/>
  </w:num>
  <w:num w:numId="22" w16cid:durableId="1894732390">
    <w:abstractNumId w:val="30"/>
  </w:num>
  <w:num w:numId="23" w16cid:durableId="2008508809">
    <w:abstractNumId w:val="27"/>
  </w:num>
  <w:num w:numId="24" w16cid:durableId="1081677299">
    <w:abstractNumId w:val="19"/>
  </w:num>
  <w:num w:numId="25" w16cid:durableId="1857846554">
    <w:abstractNumId w:val="4"/>
  </w:num>
  <w:num w:numId="26" w16cid:durableId="323163794">
    <w:abstractNumId w:val="7"/>
  </w:num>
  <w:num w:numId="27" w16cid:durableId="842547745">
    <w:abstractNumId w:val="13"/>
  </w:num>
  <w:num w:numId="28" w16cid:durableId="296496866">
    <w:abstractNumId w:val="25"/>
  </w:num>
  <w:num w:numId="29" w16cid:durableId="1056314712">
    <w:abstractNumId w:val="36"/>
  </w:num>
  <w:num w:numId="30" w16cid:durableId="960526506">
    <w:abstractNumId w:val="33"/>
  </w:num>
  <w:num w:numId="31" w16cid:durableId="29847180">
    <w:abstractNumId w:val="16"/>
  </w:num>
  <w:num w:numId="32" w16cid:durableId="1189832343">
    <w:abstractNumId w:val="1"/>
  </w:num>
  <w:num w:numId="33" w16cid:durableId="704061662">
    <w:abstractNumId w:val="9"/>
  </w:num>
  <w:num w:numId="34" w16cid:durableId="129910150">
    <w:abstractNumId w:val="35"/>
  </w:num>
  <w:num w:numId="35" w16cid:durableId="847983612">
    <w:abstractNumId w:val="8"/>
  </w:num>
  <w:num w:numId="36" w16cid:durableId="810825320">
    <w:abstractNumId w:val="26"/>
  </w:num>
  <w:num w:numId="37" w16cid:durableId="1035732978">
    <w:abstractNumId w:val="0"/>
  </w:num>
  <w:num w:numId="38" w16cid:durableId="84085472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22"/>
    <w:rsid w:val="000412E5"/>
    <w:rsid w:val="000416FE"/>
    <w:rsid w:val="000765B8"/>
    <w:rsid w:val="0009727B"/>
    <w:rsid w:val="000D331B"/>
    <w:rsid w:val="000E51CC"/>
    <w:rsid w:val="000F0DEA"/>
    <w:rsid w:val="001058C5"/>
    <w:rsid w:val="00106AB4"/>
    <w:rsid w:val="00112048"/>
    <w:rsid w:val="0014018E"/>
    <w:rsid w:val="0016755A"/>
    <w:rsid w:val="001857E2"/>
    <w:rsid w:val="001D1C2C"/>
    <w:rsid w:val="001D660E"/>
    <w:rsid w:val="0020339F"/>
    <w:rsid w:val="002047FE"/>
    <w:rsid w:val="002049EB"/>
    <w:rsid w:val="002108EB"/>
    <w:rsid w:val="00221815"/>
    <w:rsid w:val="0024169E"/>
    <w:rsid w:val="00242F5F"/>
    <w:rsid w:val="00253CFB"/>
    <w:rsid w:val="002553D8"/>
    <w:rsid w:val="00265273"/>
    <w:rsid w:val="00277E11"/>
    <w:rsid w:val="00292C0F"/>
    <w:rsid w:val="0029319C"/>
    <w:rsid w:val="002B291E"/>
    <w:rsid w:val="002B5B4C"/>
    <w:rsid w:val="002D315E"/>
    <w:rsid w:val="002E4E33"/>
    <w:rsid w:val="0036671B"/>
    <w:rsid w:val="00377588"/>
    <w:rsid w:val="00380816"/>
    <w:rsid w:val="003C5319"/>
    <w:rsid w:val="003E18A1"/>
    <w:rsid w:val="00423E60"/>
    <w:rsid w:val="00446061"/>
    <w:rsid w:val="00457724"/>
    <w:rsid w:val="00481538"/>
    <w:rsid w:val="00496AD6"/>
    <w:rsid w:val="004A6CCC"/>
    <w:rsid w:val="004D2CDA"/>
    <w:rsid w:val="00533EC1"/>
    <w:rsid w:val="00544301"/>
    <w:rsid w:val="00560427"/>
    <w:rsid w:val="00576E21"/>
    <w:rsid w:val="005868CA"/>
    <w:rsid w:val="0059084A"/>
    <w:rsid w:val="00591F73"/>
    <w:rsid w:val="00594805"/>
    <w:rsid w:val="005A006A"/>
    <w:rsid w:val="005E3CF4"/>
    <w:rsid w:val="005E5003"/>
    <w:rsid w:val="00602ED9"/>
    <w:rsid w:val="00635A74"/>
    <w:rsid w:val="00640418"/>
    <w:rsid w:val="00652483"/>
    <w:rsid w:val="006660BC"/>
    <w:rsid w:val="0067743A"/>
    <w:rsid w:val="00684FCF"/>
    <w:rsid w:val="00692421"/>
    <w:rsid w:val="006940A7"/>
    <w:rsid w:val="006A6EE2"/>
    <w:rsid w:val="006C59F3"/>
    <w:rsid w:val="006D395C"/>
    <w:rsid w:val="006E061D"/>
    <w:rsid w:val="007005CA"/>
    <w:rsid w:val="007019C5"/>
    <w:rsid w:val="00710BCC"/>
    <w:rsid w:val="007252FD"/>
    <w:rsid w:val="0074094B"/>
    <w:rsid w:val="00740E5E"/>
    <w:rsid w:val="00747C1B"/>
    <w:rsid w:val="007843FB"/>
    <w:rsid w:val="00787141"/>
    <w:rsid w:val="007B09AD"/>
    <w:rsid w:val="007B1386"/>
    <w:rsid w:val="007C09DC"/>
    <w:rsid w:val="007D28E3"/>
    <w:rsid w:val="007D46C9"/>
    <w:rsid w:val="007E222C"/>
    <w:rsid w:val="007E2F83"/>
    <w:rsid w:val="00805F45"/>
    <w:rsid w:val="0081272B"/>
    <w:rsid w:val="00817564"/>
    <w:rsid w:val="00822401"/>
    <w:rsid w:val="00860B4E"/>
    <w:rsid w:val="008648BE"/>
    <w:rsid w:val="00894C4D"/>
    <w:rsid w:val="008A05F1"/>
    <w:rsid w:val="008A4709"/>
    <w:rsid w:val="008D7DD0"/>
    <w:rsid w:val="008E033D"/>
    <w:rsid w:val="008F469D"/>
    <w:rsid w:val="008F561C"/>
    <w:rsid w:val="009039F6"/>
    <w:rsid w:val="00926B79"/>
    <w:rsid w:val="009277C4"/>
    <w:rsid w:val="00930579"/>
    <w:rsid w:val="009405F7"/>
    <w:rsid w:val="00956522"/>
    <w:rsid w:val="00956D0B"/>
    <w:rsid w:val="00966C69"/>
    <w:rsid w:val="009B5E4E"/>
    <w:rsid w:val="00A11158"/>
    <w:rsid w:val="00A3105B"/>
    <w:rsid w:val="00A3520F"/>
    <w:rsid w:val="00A44E5C"/>
    <w:rsid w:val="00A7369C"/>
    <w:rsid w:val="00A813DB"/>
    <w:rsid w:val="00A95283"/>
    <w:rsid w:val="00AA0C1B"/>
    <w:rsid w:val="00AA2EB5"/>
    <w:rsid w:val="00B12882"/>
    <w:rsid w:val="00B210AB"/>
    <w:rsid w:val="00B320C1"/>
    <w:rsid w:val="00B32D5D"/>
    <w:rsid w:val="00B60A88"/>
    <w:rsid w:val="00B85547"/>
    <w:rsid w:val="00B95684"/>
    <w:rsid w:val="00BA5E3B"/>
    <w:rsid w:val="00BB350F"/>
    <w:rsid w:val="00BB7AEB"/>
    <w:rsid w:val="00BC71B7"/>
    <w:rsid w:val="00BD18AD"/>
    <w:rsid w:val="00BD2019"/>
    <w:rsid w:val="00C03A10"/>
    <w:rsid w:val="00C47B21"/>
    <w:rsid w:val="00C65688"/>
    <w:rsid w:val="00C71F29"/>
    <w:rsid w:val="00C821C2"/>
    <w:rsid w:val="00C92094"/>
    <w:rsid w:val="00CA5D22"/>
    <w:rsid w:val="00CB38C6"/>
    <w:rsid w:val="00CB58E6"/>
    <w:rsid w:val="00CE7E7B"/>
    <w:rsid w:val="00D014C9"/>
    <w:rsid w:val="00D43ECF"/>
    <w:rsid w:val="00D5262D"/>
    <w:rsid w:val="00D6037B"/>
    <w:rsid w:val="00D629C5"/>
    <w:rsid w:val="00D76171"/>
    <w:rsid w:val="00D92163"/>
    <w:rsid w:val="00DB732C"/>
    <w:rsid w:val="00DD4C63"/>
    <w:rsid w:val="00DF07BE"/>
    <w:rsid w:val="00E51C12"/>
    <w:rsid w:val="00E74FC9"/>
    <w:rsid w:val="00E94446"/>
    <w:rsid w:val="00ED48BD"/>
    <w:rsid w:val="00EE2AF7"/>
    <w:rsid w:val="00F1131D"/>
    <w:rsid w:val="00F24DA0"/>
    <w:rsid w:val="00F55D28"/>
    <w:rsid w:val="00FC24EF"/>
    <w:rsid w:val="00FE374B"/>
    <w:rsid w:val="00FF03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2F317"/>
  <w15:docId w15:val="{57953567-27DE-48E8-9176-D9E46FD6E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link w:val="Heading1Char"/>
    <w:uiPriority w:val="9"/>
    <w:qFormat/>
    <w:rsid w:val="00E11351"/>
    <w:pPr>
      <w:keepNext/>
      <w:keepLines/>
      <w:widowControl/>
      <w:spacing w:before="240" w:line="259" w:lineRule="auto"/>
      <w:outlineLvl w:val="0"/>
    </w:pPr>
    <w:rPr>
      <w:rFonts w:ascii="Calibri" w:eastAsia="Calibri" w:hAnsi="Calibri" w:cs="Calibri"/>
      <w:b/>
      <w:bCs/>
      <w:color w:val="1AA2DB"/>
      <w:sz w:val="36"/>
      <w:szCs w:val="36"/>
    </w:rPr>
  </w:style>
  <w:style w:type="paragraph" w:styleId="Heading2">
    <w:name w:val="heading 2"/>
    <w:basedOn w:val="Normal"/>
    <w:link w:val="Heading2Char"/>
    <w:uiPriority w:val="9"/>
    <w:unhideWhenUsed/>
    <w:qFormat/>
    <w:rsid w:val="00E11351"/>
    <w:pPr>
      <w:keepNext/>
      <w:keepLines/>
      <w:widowControl/>
      <w:spacing w:before="40" w:line="259" w:lineRule="auto"/>
      <w:ind w:firstLine="720"/>
      <w:outlineLvl w:val="1"/>
    </w:pPr>
    <w:rPr>
      <w:rFonts w:asciiTheme="minorHAnsi" w:hAnsiTheme="minorHAnsi" w:cstheme="minorHAnsi"/>
      <w:color w:val="1AA2DB"/>
      <w:sz w:val="32"/>
      <w:szCs w:val="30"/>
    </w:rPr>
  </w:style>
  <w:style w:type="paragraph" w:styleId="Heading3">
    <w:name w:val="heading 3"/>
    <w:basedOn w:val="Normal"/>
    <w:link w:val="Heading3Char"/>
    <w:uiPriority w:val="9"/>
    <w:unhideWhenUsed/>
    <w:qFormat/>
    <w:rsid w:val="00E11351"/>
    <w:pPr>
      <w:keepNext/>
      <w:keepLines/>
      <w:widowControl/>
      <w:numPr>
        <w:numId w:val="16"/>
      </w:numPr>
      <w:spacing w:before="40" w:line="259" w:lineRule="auto"/>
      <w:outlineLvl w:val="2"/>
    </w:pPr>
    <w:rPr>
      <w:rFonts w:ascii="Calibri" w:eastAsia="Calibri" w:hAnsi="Calibri" w:cs="Calibri"/>
      <w:bCs/>
      <w:color w:val="1AA2DB"/>
      <w:sz w:val="28"/>
      <w:szCs w:val="20"/>
    </w:rPr>
  </w:style>
  <w:style w:type="paragraph" w:styleId="Heading4">
    <w:name w:val="heading 4"/>
    <w:basedOn w:val="Heading3"/>
    <w:next w:val="Normal"/>
    <w:link w:val="Heading4Char"/>
    <w:uiPriority w:val="9"/>
    <w:unhideWhenUsed/>
    <w:qFormat/>
    <w:rsid w:val="00E11351"/>
    <w:pPr>
      <w:numPr>
        <w:ilvl w:val="2"/>
      </w:numPr>
      <w:ind w:left="1440" w:firstLine="180"/>
      <w:outlineLvl w:val="3"/>
    </w:pPr>
    <w:rPr>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3C08"/>
    <w:pPr>
      <w:contextualSpacing/>
      <w:jc w:val="center"/>
    </w:pPr>
    <w:rPr>
      <w:rFonts w:eastAsiaTheme="majorEastAsia" w:cstheme="majorBidi"/>
      <w:spacing w:val="-10"/>
      <w:kern w:val="28"/>
      <w:sz w:val="56"/>
      <w:szCs w:val="56"/>
    </w:rPr>
  </w:style>
  <w:style w:type="paragraph" w:styleId="BodyText">
    <w:name w:val="Body Text"/>
    <w:aliases w:val="Main Topic Body Text"/>
    <w:basedOn w:val="Normal"/>
    <w:link w:val="BodyTextChar"/>
    <w:uiPriority w:val="1"/>
    <w:qFormat/>
    <w:rsid w:val="009E778C"/>
    <w:pPr>
      <w:jc w:val="both"/>
    </w:pPr>
    <w:rPr>
      <w:sz w:val="24"/>
    </w:rPr>
  </w:style>
  <w:style w:type="paragraph" w:styleId="ListParagraph">
    <w:name w:val="List Paragraph"/>
    <w:basedOn w:val="Normal"/>
    <w:link w:val="ListParagraphChar"/>
    <w:uiPriority w:val="34"/>
    <w:qFormat/>
    <w:pPr>
      <w:spacing w:before="189"/>
      <w:ind w:left="220" w:hanging="254"/>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22518D"/>
    <w:pPr>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22518D"/>
    <w:pPr>
      <w:spacing w:after="100"/>
    </w:pPr>
  </w:style>
  <w:style w:type="paragraph" w:styleId="TOC2">
    <w:name w:val="toc 2"/>
    <w:basedOn w:val="Normal"/>
    <w:next w:val="Normal"/>
    <w:autoRedefine/>
    <w:uiPriority w:val="39"/>
    <w:unhideWhenUsed/>
    <w:rsid w:val="0022518D"/>
    <w:pPr>
      <w:spacing w:after="100"/>
      <w:ind w:left="220"/>
    </w:pPr>
  </w:style>
  <w:style w:type="paragraph" w:styleId="TOC3">
    <w:name w:val="toc 3"/>
    <w:basedOn w:val="Normal"/>
    <w:next w:val="Normal"/>
    <w:autoRedefine/>
    <w:uiPriority w:val="39"/>
    <w:unhideWhenUsed/>
    <w:rsid w:val="0022518D"/>
    <w:pPr>
      <w:spacing w:after="100"/>
      <w:ind w:left="440"/>
    </w:pPr>
  </w:style>
  <w:style w:type="character" w:styleId="Hyperlink">
    <w:name w:val="Hyperlink"/>
    <w:basedOn w:val="DefaultParagraphFont"/>
    <w:uiPriority w:val="99"/>
    <w:unhideWhenUsed/>
    <w:rsid w:val="0022518D"/>
    <w:rPr>
      <w:color w:val="0000FF" w:themeColor="hyperlink"/>
      <w:u w:val="single"/>
    </w:rPr>
  </w:style>
  <w:style w:type="paragraph" w:styleId="Header">
    <w:name w:val="header"/>
    <w:basedOn w:val="Normal"/>
    <w:link w:val="HeaderChar"/>
    <w:uiPriority w:val="99"/>
    <w:unhideWhenUsed/>
    <w:rsid w:val="00FE7B91"/>
    <w:pPr>
      <w:tabs>
        <w:tab w:val="center" w:pos="4680"/>
        <w:tab w:val="right" w:pos="9360"/>
      </w:tabs>
    </w:pPr>
  </w:style>
  <w:style w:type="character" w:customStyle="1" w:styleId="HeaderChar">
    <w:name w:val="Header Char"/>
    <w:basedOn w:val="DefaultParagraphFont"/>
    <w:link w:val="Header"/>
    <w:uiPriority w:val="99"/>
    <w:rsid w:val="00FE7B91"/>
    <w:rPr>
      <w:rFonts w:ascii="Times New Roman" w:eastAsia="Times New Roman" w:hAnsi="Times New Roman" w:cs="Times New Roman"/>
      <w:lang w:bidi="en-US"/>
    </w:rPr>
  </w:style>
  <w:style w:type="paragraph" w:styleId="Footer">
    <w:name w:val="footer"/>
    <w:basedOn w:val="Normal"/>
    <w:link w:val="FooterChar"/>
    <w:uiPriority w:val="99"/>
    <w:unhideWhenUsed/>
    <w:rsid w:val="00FE7B91"/>
    <w:pPr>
      <w:tabs>
        <w:tab w:val="center" w:pos="4680"/>
        <w:tab w:val="right" w:pos="9360"/>
      </w:tabs>
    </w:pPr>
  </w:style>
  <w:style w:type="character" w:customStyle="1" w:styleId="FooterChar">
    <w:name w:val="Footer Char"/>
    <w:basedOn w:val="DefaultParagraphFont"/>
    <w:link w:val="Footer"/>
    <w:uiPriority w:val="99"/>
    <w:rsid w:val="00FE7B91"/>
    <w:rPr>
      <w:rFonts w:ascii="Times New Roman" w:eastAsia="Times New Roman" w:hAnsi="Times New Roman" w:cs="Times New Roman"/>
      <w:lang w:bidi="en-US"/>
    </w:rPr>
  </w:style>
  <w:style w:type="character" w:customStyle="1" w:styleId="Heading4Char">
    <w:name w:val="Heading 4 Char"/>
    <w:basedOn w:val="DefaultParagraphFont"/>
    <w:link w:val="Heading4"/>
    <w:uiPriority w:val="9"/>
    <w:rsid w:val="00E11351"/>
    <w:rPr>
      <w:rFonts w:ascii="Calibri" w:eastAsia="Calibri" w:hAnsi="Calibri" w:cs="Calibri"/>
      <w:b/>
      <w:bCs/>
      <w:color w:val="1AA2DB"/>
      <w:sz w:val="24"/>
      <w:szCs w:val="20"/>
      <w:lang w:bidi="en-US"/>
    </w:rPr>
  </w:style>
  <w:style w:type="paragraph" w:styleId="BalloonText">
    <w:name w:val="Balloon Text"/>
    <w:basedOn w:val="Normal"/>
    <w:link w:val="BalloonTextChar"/>
    <w:uiPriority w:val="99"/>
    <w:semiHidden/>
    <w:unhideWhenUsed/>
    <w:rsid w:val="00F270F3"/>
    <w:pPr>
      <w:widowControl/>
    </w:pPr>
    <w:rPr>
      <w:rFonts w:ascii="Segoe UI" w:eastAsiaTheme="minorHAnsi" w:hAnsi="Segoe UI" w:cs="Segoe UI"/>
      <w:sz w:val="18"/>
      <w:szCs w:val="18"/>
      <w:lang w:val="en-CA" w:bidi="ar-SA"/>
    </w:rPr>
  </w:style>
  <w:style w:type="character" w:customStyle="1" w:styleId="BalloonTextChar">
    <w:name w:val="Balloon Text Char"/>
    <w:basedOn w:val="DefaultParagraphFont"/>
    <w:link w:val="BalloonText"/>
    <w:uiPriority w:val="99"/>
    <w:semiHidden/>
    <w:rsid w:val="00F270F3"/>
    <w:rPr>
      <w:rFonts w:ascii="Segoe UI" w:hAnsi="Segoe UI" w:cs="Segoe UI"/>
      <w:sz w:val="18"/>
      <w:szCs w:val="18"/>
      <w:lang w:val="en-CA"/>
    </w:rPr>
  </w:style>
  <w:style w:type="character" w:styleId="CommentReference">
    <w:name w:val="annotation reference"/>
    <w:uiPriority w:val="99"/>
    <w:semiHidden/>
    <w:unhideWhenUsed/>
    <w:rsid w:val="00F270F3"/>
    <w:rPr>
      <w:sz w:val="16"/>
      <w:szCs w:val="16"/>
    </w:rPr>
  </w:style>
  <w:style w:type="paragraph" w:styleId="CommentText">
    <w:name w:val="annotation text"/>
    <w:basedOn w:val="Normal"/>
    <w:link w:val="CommentTextChar"/>
    <w:uiPriority w:val="99"/>
    <w:unhideWhenUsed/>
    <w:rsid w:val="00F270F3"/>
    <w:pPr>
      <w:widowControl/>
      <w:spacing w:after="200" w:line="276" w:lineRule="auto"/>
    </w:pPr>
    <w:rPr>
      <w:rFonts w:ascii="Calibri" w:eastAsia="Calibri" w:hAnsi="Calibri"/>
      <w:sz w:val="20"/>
      <w:szCs w:val="20"/>
      <w:lang w:val="en-CA" w:bidi="ar-SA"/>
    </w:rPr>
  </w:style>
  <w:style w:type="character" w:customStyle="1" w:styleId="CommentTextChar">
    <w:name w:val="Comment Text Char"/>
    <w:basedOn w:val="DefaultParagraphFont"/>
    <w:link w:val="CommentText"/>
    <w:uiPriority w:val="99"/>
    <w:rsid w:val="00F270F3"/>
    <w:rPr>
      <w:rFonts w:ascii="Calibri" w:eastAsia="Calibri" w:hAnsi="Calibri"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F270F3"/>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270F3"/>
    <w:rPr>
      <w:rFonts w:ascii="Calibri" w:eastAsia="Calibri" w:hAnsi="Calibri" w:cs="Times New Roman"/>
      <w:b/>
      <w:bCs/>
      <w:sz w:val="20"/>
      <w:szCs w:val="20"/>
      <w:lang w:val="en-CA"/>
    </w:rPr>
  </w:style>
  <w:style w:type="paragraph" w:styleId="Revision">
    <w:name w:val="Revision"/>
    <w:hidden/>
    <w:uiPriority w:val="99"/>
    <w:semiHidden/>
    <w:rsid w:val="00F270F3"/>
    <w:pPr>
      <w:widowControl/>
    </w:pPr>
    <w:rPr>
      <w:lang w:val="en-CA"/>
    </w:rPr>
  </w:style>
  <w:style w:type="character" w:customStyle="1" w:styleId="Heading1Char">
    <w:name w:val="Heading 1 Char"/>
    <w:basedOn w:val="DefaultParagraphFont"/>
    <w:link w:val="Heading1"/>
    <w:uiPriority w:val="9"/>
    <w:rsid w:val="00E11351"/>
    <w:rPr>
      <w:rFonts w:ascii="Calibri" w:eastAsia="Calibri" w:hAnsi="Calibri" w:cs="Calibri"/>
      <w:b/>
      <w:bCs/>
      <w:color w:val="1AA2DB"/>
      <w:sz w:val="36"/>
      <w:szCs w:val="36"/>
      <w:lang w:bidi="en-US"/>
    </w:rPr>
  </w:style>
  <w:style w:type="character" w:customStyle="1" w:styleId="Heading2Char">
    <w:name w:val="Heading 2 Char"/>
    <w:basedOn w:val="DefaultParagraphFont"/>
    <w:link w:val="Heading2"/>
    <w:uiPriority w:val="9"/>
    <w:rsid w:val="00E11351"/>
    <w:rPr>
      <w:rFonts w:eastAsia="Times New Roman" w:cstheme="minorHAnsi"/>
      <w:color w:val="1AA2DB"/>
      <w:sz w:val="32"/>
      <w:szCs w:val="30"/>
      <w:lang w:bidi="en-US"/>
    </w:rPr>
  </w:style>
  <w:style w:type="character" w:styleId="FollowedHyperlink">
    <w:name w:val="FollowedHyperlink"/>
    <w:basedOn w:val="DefaultParagraphFont"/>
    <w:uiPriority w:val="99"/>
    <w:semiHidden/>
    <w:unhideWhenUsed/>
    <w:rsid w:val="00F270F3"/>
    <w:rPr>
      <w:color w:val="800080" w:themeColor="followedHyperlink"/>
      <w:u w:val="single"/>
    </w:rPr>
  </w:style>
  <w:style w:type="character" w:customStyle="1" w:styleId="Heading3Char">
    <w:name w:val="Heading 3 Char"/>
    <w:basedOn w:val="DefaultParagraphFont"/>
    <w:link w:val="Heading3"/>
    <w:uiPriority w:val="9"/>
    <w:rsid w:val="00E11351"/>
    <w:rPr>
      <w:rFonts w:ascii="Calibri" w:eastAsia="Calibri" w:hAnsi="Calibri" w:cs="Calibri"/>
      <w:bCs/>
      <w:color w:val="1AA2DB"/>
      <w:sz w:val="28"/>
      <w:szCs w:val="20"/>
      <w:lang w:bidi="en-US"/>
    </w:rPr>
  </w:style>
  <w:style w:type="paragraph" w:styleId="Subtitle">
    <w:name w:val="Subtitle"/>
    <w:aliases w:val="Author(s)"/>
    <w:basedOn w:val="Normal"/>
    <w:next w:val="Normal"/>
    <w:link w:val="SubtitleChar"/>
    <w:uiPriority w:val="11"/>
    <w:qFormat/>
    <w:pPr>
      <w:jc w:val="center"/>
    </w:pPr>
    <w:rPr>
      <w:rFonts w:ascii="Calibri" w:eastAsia="Calibri" w:hAnsi="Calibri" w:cs="Calibri"/>
      <w:sz w:val="32"/>
      <w:szCs w:val="32"/>
    </w:rPr>
  </w:style>
  <w:style w:type="character" w:customStyle="1" w:styleId="SubtitleChar">
    <w:name w:val="Subtitle Char"/>
    <w:aliases w:val="Author(s) Char"/>
    <w:basedOn w:val="DefaultParagraphFont"/>
    <w:link w:val="Subtitle"/>
    <w:uiPriority w:val="11"/>
    <w:rsid w:val="001D3C08"/>
    <w:rPr>
      <w:rFonts w:eastAsia="Times New Roman" w:cs="Times New Roman"/>
      <w:sz w:val="32"/>
      <w:lang w:bidi="en-US"/>
    </w:rPr>
  </w:style>
  <w:style w:type="paragraph" w:customStyle="1" w:styleId="Subtopicbodytext">
    <w:name w:val="Subtopic body text"/>
    <w:basedOn w:val="BodyText"/>
    <w:link w:val="SubtopicbodytextChar"/>
    <w:uiPriority w:val="1"/>
    <w:qFormat/>
    <w:rsid w:val="007071AC"/>
    <w:pPr>
      <w:ind w:left="1080"/>
    </w:pPr>
  </w:style>
  <w:style w:type="paragraph" w:customStyle="1" w:styleId="Subcategorybodytext">
    <w:name w:val="Subcategory body text"/>
    <w:basedOn w:val="BodyText"/>
    <w:link w:val="SubcategorybodytextChar"/>
    <w:uiPriority w:val="1"/>
    <w:qFormat/>
    <w:rsid w:val="007071AC"/>
    <w:pPr>
      <w:ind w:left="1440"/>
    </w:pPr>
  </w:style>
  <w:style w:type="character" w:customStyle="1" w:styleId="BodyTextChar">
    <w:name w:val="Body Text Char"/>
    <w:aliases w:val="Main Topic Body Text Char"/>
    <w:basedOn w:val="DefaultParagraphFont"/>
    <w:link w:val="BodyText"/>
    <w:uiPriority w:val="1"/>
    <w:rsid w:val="007071AC"/>
    <w:rPr>
      <w:rFonts w:ascii="Times New Roman" w:eastAsia="Times New Roman" w:hAnsi="Times New Roman" w:cs="Times New Roman"/>
      <w:sz w:val="24"/>
      <w:lang w:bidi="en-US"/>
    </w:rPr>
  </w:style>
  <w:style w:type="character" w:customStyle="1" w:styleId="SubtopicbodytextChar">
    <w:name w:val="Subtopic body text Char"/>
    <w:basedOn w:val="BodyTextChar"/>
    <w:link w:val="Subtopicbodytext"/>
    <w:uiPriority w:val="1"/>
    <w:rsid w:val="007071AC"/>
    <w:rPr>
      <w:rFonts w:ascii="Times New Roman" w:eastAsia="Times New Roman" w:hAnsi="Times New Roman" w:cs="Times New Roman"/>
      <w:sz w:val="24"/>
      <w:lang w:bidi="en-US"/>
    </w:rPr>
  </w:style>
  <w:style w:type="paragraph" w:customStyle="1" w:styleId="Notesbodytext">
    <w:name w:val="Notes body text"/>
    <w:basedOn w:val="BodyText"/>
    <w:link w:val="NotesbodytextChar"/>
    <w:uiPriority w:val="1"/>
    <w:qFormat/>
    <w:rsid w:val="007071AC"/>
    <w:pPr>
      <w:ind w:left="1800"/>
    </w:pPr>
  </w:style>
  <w:style w:type="character" w:customStyle="1" w:styleId="SubcategorybodytextChar">
    <w:name w:val="Subcategory body text Char"/>
    <w:basedOn w:val="BodyTextChar"/>
    <w:link w:val="Subcategorybodytext"/>
    <w:uiPriority w:val="1"/>
    <w:rsid w:val="007071AC"/>
    <w:rPr>
      <w:rFonts w:ascii="Times New Roman" w:eastAsia="Times New Roman" w:hAnsi="Times New Roman" w:cs="Times New Roman"/>
      <w:sz w:val="24"/>
      <w:lang w:bidi="en-US"/>
    </w:rPr>
  </w:style>
  <w:style w:type="paragraph" w:customStyle="1" w:styleId="Bulletlist">
    <w:name w:val="Bullet list"/>
    <w:basedOn w:val="BodyText"/>
    <w:link w:val="BulletlistChar"/>
    <w:uiPriority w:val="1"/>
    <w:qFormat/>
    <w:rsid w:val="002A30B7"/>
    <w:pPr>
      <w:numPr>
        <w:numId w:val="19"/>
      </w:numPr>
    </w:pPr>
  </w:style>
  <w:style w:type="character" w:customStyle="1" w:styleId="NotesbodytextChar">
    <w:name w:val="Notes body text Char"/>
    <w:basedOn w:val="BodyTextChar"/>
    <w:link w:val="Notesbodytext"/>
    <w:uiPriority w:val="1"/>
    <w:rsid w:val="007071AC"/>
    <w:rPr>
      <w:rFonts w:ascii="Times New Roman" w:eastAsia="Times New Roman" w:hAnsi="Times New Roman" w:cs="Times New Roman"/>
      <w:sz w:val="24"/>
      <w:lang w:bidi="en-US"/>
    </w:rPr>
  </w:style>
  <w:style w:type="paragraph" w:customStyle="1" w:styleId="Reference">
    <w:name w:val="Reference"/>
    <w:basedOn w:val="Normal"/>
    <w:link w:val="ReferenceChar"/>
    <w:uiPriority w:val="1"/>
    <w:qFormat/>
    <w:rsid w:val="00550C19"/>
    <w:pPr>
      <w:adjustRightInd w:val="0"/>
      <w:spacing w:after="120"/>
      <w:ind w:left="720" w:hanging="720"/>
      <w:jc w:val="both"/>
    </w:pPr>
    <w:rPr>
      <w:color w:val="000000"/>
      <w:sz w:val="24"/>
      <w:szCs w:val="24"/>
    </w:rPr>
  </w:style>
  <w:style w:type="character" w:customStyle="1" w:styleId="BulletlistChar">
    <w:name w:val="Bullet list Char"/>
    <w:basedOn w:val="BodyTextChar"/>
    <w:link w:val="Bulletlist"/>
    <w:uiPriority w:val="1"/>
    <w:rsid w:val="002A30B7"/>
    <w:rPr>
      <w:rFonts w:ascii="Times New Roman" w:eastAsia="Times New Roman" w:hAnsi="Times New Roman" w:cs="Times New Roman"/>
      <w:sz w:val="24"/>
      <w:lang w:bidi="en-US"/>
    </w:rPr>
  </w:style>
  <w:style w:type="paragraph" w:styleId="NoSpacing">
    <w:name w:val="No Spacing"/>
    <w:link w:val="NoSpacingChar"/>
    <w:uiPriority w:val="1"/>
    <w:qFormat/>
    <w:rsid w:val="003C41EC"/>
    <w:pPr>
      <w:widowControl/>
    </w:pPr>
    <w:rPr>
      <w:rFonts w:eastAsiaTheme="minorEastAsia"/>
    </w:rPr>
  </w:style>
  <w:style w:type="character" w:customStyle="1" w:styleId="ReferenceChar">
    <w:name w:val="Reference Char"/>
    <w:basedOn w:val="DefaultParagraphFont"/>
    <w:link w:val="Reference"/>
    <w:uiPriority w:val="1"/>
    <w:rsid w:val="00550C19"/>
    <w:rPr>
      <w:rFonts w:ascii="Times New Roman" w:eastAsia="Times New Roman" w:hAnsi="Times New Roman" w:cs="Times New Roman"/>
      <w:color w:val="000000"/>
      <w:sz w:val="24"/>
      <w:szCs w:val="24"/>
      <w:lang w:bidi="en-US"/>
    </w:rPr>
  </w:style>
  <w:style w:type="character" w:customStyle="1" w:styleId="NoSpacingChar">
    <w:name w:val="No Spacing Char"/>
    <w:basedOn w:val="DefaultParagraphFont"/>
    <w:link w:val="NoSpacing"/>
    <w:uiPriority w:val="1"/>
    <w:rsid w:val="003C41EC"/>
    <w:rPr>
      <w:rFonts w:eastAsiaTheme="minorEastAsia"/>
    </w:rPr>
  </w:style>
  <w:style w:type="character" w:customStyle="1" w:styleId="TitleChar">
    <w:name w:val="Title Char"/>
    <w:basedOn w:val="DefaultParagraphFont"/>
    <w:link w:val="Title"/>
    <w:uiPriority w:val="10"/>
    <w:rsid w:val="001D3C08"/>
    <w:rPr>
      <w:rFonts w:ascii="Times New Roman" w:eastAsiaTheme="majorEastAsia" w:hAnsi="Times New Roman" w:cstheme="majorBidi"/>
      <w:spacing w:val="-10"/>
      <w:kern w:val="28"/>
      <w:sz w:val="56"/>
      <w:szCs w:val="56"/>
      <w:lang w:bidi="en-US"/>
    </w:rPr>
  </w:style>
  <w:style w:type="character" w:styleId="Strong">
    <w:name w:val="Strong"/>
    <w:basedOn w:val="DefaultParagraphFont"/>
    <w:uiPriority w:val="22"/>
    <w:qFormat/>
    <w:rsid w:val="003D47F5"/>
    <w:rPr>
      <w:b/>
      <w:bCs/>
    </w:rPr>
  </w:style>
  <w:style w:type="character" w:styleId="SubtleReference">
    <w:name w:val="Subtle Reference"/>
    <w:basedOn w:val="DefaultParagraphFont"/>
    <w:uiPriority w:val="31"/>
    <w:qFormat/>
    <w:rsid w:val="003D47F5"/>
    <w:rPr>
      <w:smallCaps/>
      <w:color w:val="5A5A5A" w:themeColor="text1" w:themeTint="A5"/>
    </w:rPr>
  </w:style>
  <w:style w:type="character" w:styleId="SubtleEmphasis">
    <w:name w:val="Subtle Emphasis"/>
    <w:aliases w:val="Header &amp; Footer text"/>
    <w:basedOn w:val="DefaultParagraphFont"/>
    <w:uiPriority w:val="19"/>
    <w:qFormat/>
    <w:rsid w:val="003D3259"/>
    <w:rPr>
      <w:rFonts w:asciiTheme="minorHAnsi" w:hAnsiTheme="minorHAnsi" w:cstheme="minorHAnsi"/>
      <w:iCs/>
      <w:color w:val="404040" w:themeColor="text1" w:themeTint="BF"/>
      <w:sz w:val="20"/>
    </w:rPr>
  </w:style>
  <w:style w:type="paragraph" w:customStyle="1" w:styleId="DateStamp">
    <w:name w:val="Date Stamp"/>
    <w:basedOn w:val="Title"/>
    <w:link w:val="DateStampChar"/>
    <w:uiPriority w:val="1"/>
    <w:qFormat/>
    <w:rsid w:val="004028A3"/>
    <w:rPr>
      <w:rFonts w:asciiTheme="minorHAnsi" w:hAnsiTheme="minorHAnsi"/>
      <w:sz w:val="24"/>
    </w:rPr>
  </w:style>
  <w:style w:type="character" w:styleId="IntenseEmphasis">
    <w:name w:val="Intense Emphasis"/>
    <w:basedOn w:val="DefaultParagraphFont"/>
    <w:uiPriority w:val="21"/>
    <w:qFormat/>
    <w:rsid w:val="00187959"/>
    <w:rPr>
      <w:iCs/>
      <w:color w:val="3FA8F4"/>
      <w:sz w:val="22"/>
    </w:rPr>
  </w:style>
  <w:style w:type="character" w:customStyle="1" w:styleId="DateStampChar">
    <w:name w:val="Date Stamp Char"/>
    <w:basedOn w:val="TitleChar"/>
    <w:link w:val="DateStamp"/>
    <w:uiPriority w:val="1"/>
    <w:rsid w:val="004028A3"/>
    <w:rPr>
      <w:rFonts w:ascii="Times New Roman" w:eastAsiaTheme="majorEastAsia" w:hAnsi="Times New Roman" w:cstheme="majorBidi"/>
      <w:spacing w:val="-10"/>
      <w:kern w:val="28"/>
      <w:sz w:val="24"/>
      <w:szCs w:val="56"/>
      <w:lang w:bidi="en-US"/>
    </w:rPr>
  </w:style>
  <w:style w:type="character" w:customStyle="1" w:styleId="UnresolvedMention1">
    <w:name w:val="Unresolved Mention1"/>
    <w:basedOn w:val="DefaultParagraphFont"/>
    <w:uiPriority w:val="99"/>
    <w:semiHidden/>
    <w:unhideWhenUsed/>
    <w:rsid w:val="00A95283"/>
    <w:rPr>
      <w:color w:val="605E5C"/>
      <w:shd w:val="clear" w:color="auto" w:fill="E1DFDD"/>
    </w:rPr>
  </w:style>
  <w:style w:type="paragraph" w:styleId="TOC4">
    <w:name w:val="toc 4"/>
    <w:basedOn w:val="Normal"/>
    <w:next w:val="Normal"/>
    <w:autoRedefine/>
    <w:uiPriority w:val="39"/>
    <w:unhideWhenUsed/>
    <w:rsid w:val="00DB732C"/>
    <w:pPr>
      <w:spacing w:after="100"/>
      <w:ind w:left="660"/>
    </w:pPr>
  </w:style>
  <w:style w:type="paragraph" w:customStyle="1" w:styleId="paragraph">
    <w:name w:val="paragraph"/>
    <w:basedOn w:val="Normal"/>
    <w:rsid w:val="002B291E"/>
    <w:pPr>
      <w:widowControl/>
      <w:spacing w:before="100" w:beforeAutospacing="1" w:after="100" w:afterAutospacing="1"/>
    </w:pPr>
    <w:rPr>
      <w:sz w:val="24"/>
      <w:szCs w:val="24"/>
      <w:lang w:val="en-CA" w:bidi="ar-SA"/>
    </w:rPr>
  </w:style>
  <w:style w:type="character" w:customStyle="1" w:styleId="normaltextrun">
    <w:name w:val="normaltextrun"/>
    <w:basedOn w:val="DefaultParagraphFont"/>
    <w:rsid w:val="002B291E"/>
  </w:style>
  <w:style w:type="character" w:customStyle="1" w:styleId="ListParagraphChar">
    <w:name w:val="List Paragraph Char"/>
    <w:basedOn w:val="DefaultParagraphFont"/>
    <w:link w:val="ListParagraph"/>
    <w:uiPriority w:val="34"/>
    <w:rsid w:val="001D1C2C"/>
    <w:rPr>
      <w:lang w:bidi="en-US"/>
    </w:rPr>
  </w:style>
  <w:style w:type="table" w:styleId="TableGrid">
    <w:name w:val="Table Grid"/>
    <w:basedOn w:val="TableNormal"/>
    <w:uiPriority w:val="39"/>
    <w:rsid w:val="00F1131D"/>
    <w:pPr>
      <w:widowControl/>
    </w:pPr>
    <w:rPr>
      <w:rFonts w:asciiTheme="minorHAnsi" w:eastAsiaTheme="minorHAnsi" w:hAnsiTheme="minorHAnsi" w:cstheme="minorBid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1131D"/>
    <w:pPr>
      <w:widowControl/>
      <w:spacing w:after="200"/>
    </w:pPr>
    <w:rPr>
      <w:rFonts w:asciiTheme="minorHAnsi" w:eastAsiaTheme="minorHAnsi" w:hAnsiTheme="minorHAnsi" w:cstheme="minorBidi"/>
      <w:i/>
      <w:iCs/>
      <w:color w:val="1F497D" w:themeColor="text2"/>
      <w:kern w:val="2"/>
      <w:sz w:val="18"/>
      <w:szCs w:val="18"/>
      <w:lang w:val="en-CA"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2118/978161399983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dar.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m.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7H6TnnWeNOr8OLZg6SFRPEVT7Q==">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17</Pages>
  <Words>5712</Words>
  <Characters>35531</Characters>
  <Application>Microsoft Office Word</Application>
  <DocSecurity>0</DocSecurity>
  <Lines>826</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Gosson, Greg</dc:creator>
  <cp:lastModifiedBy>Jennifer Breaux</cp:lastModifiedBy>
  <cp:revision>137</cp:revision>
  <dcterms:created xsi:type="dcterms:W3CDTF">2025-10-29T14:10:00Z</dcterms:created>
  <dcterms:modified xsi:type="dcterms:W3CDTF">2026-01-13T18:32:00Z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2014-05-26T00:00:00Z</vt:filetime>
  </property>
  <property fmtid="{D5CDD505-2E9C-101B-9397-08002B2CF9AE}" pid="3" name="Creator">
    <vt:lpwstr>Microsoft® Word 2010</vt:lpwstr>
  </property>
  <property fmtid="{D5CDD505-2E9C-101B-9397-08002B2CF9AE}" pid="4" name="LastSaved">
    <vt:filetime>2018-10-17T00:00:00Z</vt:filetime>
  </property>
</Properties>
</file>